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BE" w:rsidRPr="001E3FA2" w:rsidRDefault="00BD75AB" w:rsidP="00AD299B">
      <w:pPr>
        <w:spacing w:before="0" w:after="0" w:line="240" w:lineRule="auto"/>
        <w:rPr>
          <w:sz w:val="28"/>
          <w:szCs w:val="28"/>
          <w:lang w:val="en-GB"/>
        </w:rPr>
      </w:pPr>
      <w:r w:rsidRPr="001E3FA2">
        <w:rPr>
          <w:noProof/>
          <w:lang w:val="et-EE" w:eastAsia="et-EE"/>
        </w:rPr>
        <w:drawing>
          <wp:anchor distT="0" distB="0" distL="114300" distR="114300" simplePos="0" relativeHeight="251658752" behindDoc="0" locked="0" layoutInCell="1" allowOverlap="1">
            <wp:simplePos x="0" y="0"/>
            <wp:positionH relativeFrom="column">
              <wp:posOffset>5750560</wp:posOffset>
            </wp:positionH>
            <wp:positionV relativeFrom="paragraph">
              <wp:posOffset>-699770</wp:posOffset>
            </wp:positionV>
            <wp:extent cx="657860" cy="603885"/>
            <wp:effectExtent l="19050" t="0" r="8890" b="0"/>
            <wp:wrapNone/>
            <wp:docPr id="25" name="rg_hi" descr="https://encrypted-tbn1.gstatic.com/images?q=tbn:ANd9GcQLLLh-giuY_dUkCsrGTZuWzFHeayrg0ZC5Xs7XBx5fh3PCR-Z4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LLLh-giuY_dUkCsrGTZuWzFHeayrg0ZC5Xs7XBx5fh3PCR-Z4mg"/>
                    <pic:cNvPicPr>
                      <a:picLocks noChangeAspect="1" noChangeArrowheads="1"/>
                    </pic:cNvPicPr>
                  </pic:nvPicPr>
                  <pic:blipFill>
                    <a:blip r:embed="rId8" cstate="print"/>
                    <a:srcRect/>
                    <a:stretch>
                      <a:fillRect/>
                    </a:stretch>
                  </pic:blipFill>
                  <pic:spPr bwMode="auto">
                    <a:xfrm>
                      <a:off x="0" y="0"/>
                      <a:ext cx="657860" cy="603885"/>
                    </a:xfrm>
                    <a:prstGeom prst="rect">
                      <a:avLst/>
                    </a:prstGeom>
                    <a:noFill/>
                    <a:ln w="9525">
                      <a:noFill/>
                      <a:miter lim="800000"/>
                      <a:headEnd/>
                      <a:tailEnd/>
                    </a:ln>
                  </pic:spPr>
                </pic:pic>
              </a:graphicData>
            </a:graphic>
          </wp:anchor>
        </w:drawing>
      </w:r>
      <w:r w:rsidRPr="001E3FA2">
        <w:rPr>
          <w:noProof/>
          <w:lang w:val="et-EE" w:eastAsia="et-EE"/>
        </w:rPr>
        <w:drawing>
          <wp:anchor distT="0" distB="0" distL="114300" distR="114300" simplePos="0" relativeHeight="251659776" behindDoc="0" locked="0" layoutInCell="1" allowOverlap="1">
            <wp:simplePos x="0" y="0"/>
            <wp:positionH relativeFrom="column">
              <wp:posOffset>-701040</wp:posOffset>
            </wp:positionH>
            <wp:positionV relativeFrom="paragraph">
              <wp:posOffset>-699770</wp:posOffset>
            </wp:positionV>
            <wp:extent cx="2237740" cy="640715"/>
            <wp:effectExtent l="19050" t="0" r="0" b="0"/>
            <wp:wrapNone/>
            <wp:docPr id="26" name="Obrázek 10"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3.gif"/>
                    <pic:cNvPicPr>
                      <a:picLocks noChangeAspect="1" noChangeArrowheads="1"/>
                    </pic:cNvPicPr>
                  </pic:nvPicPr>
                  <pic:blipFill>
                    <a:blip r:embed="rId9" cstate="print"/>
                    <a:srcRect/>
                    <a:stretch>
                      <a:fillRect/>
                    </a:stretch>
                  </pic:blipFill>
                  <pic:spPr bwMode="auto">
                    <a:xfrm>
                      <a:off x="0" y="0"/>
                      <a:ext cx="2237740" cy="640715"/>
                    </a:xfrm>
                    <a:prstGeom prst="rect">
                      <a:avLst/>
                    </a:prstGeom>
                    <a:noFill/>
                    <a:ln w="9525">
                      <a:noFill/>
                      <a:miter lim="800000"/>
                      <a:headEnd/>
                      <a:tailEnd/>
                    </a:ln>
                  </pic:spPr>
                </pic:pic>
              </a:graphicData>
            </a:graphic>
          </wp:anchor>
        </w:drawing>
      </w:r>
    </w:p>
    <w:p w:rsidR="007F191F" w:rsidRPr="001E3FA2" w:rsidRDefault="007F191F" w:rsidP="00D63EBE">
      <w:pPr>
        <w:rPr>
          <w:lang w:val="en-GB"/>
        </w:rPr>
      </w:pPr>
    </w:p>
    <w:p w:rsidR="000716C8" w:rsidRPr="001E3FA2" w:rsidRDefault="000716C8" w:rsidP="00D63EBE">
      <w:pPr>
        <w:rPr>
          <w:lang w:val="en-GB"/>
        </w:rPr>
      </w:pPr>
    </w:p>
    <w:p w:rsidR="000716C8" w:rsidRPr="001E3FA2" w:rsidRDefault="000716C8" w:rsidP="00D63EBE">
      <w:pPr>
        <w:rPr>
          <w:lang w:val="en-GB"/>
        </w:rPr>
      </w:pPr>
    </w:p>
    <w:p w:rsidR="000716C8" w:rsidRPr="001E3FA2" w:rsidRDefault="000716C8" w:rsidP="00D63EBE">
      <w:pPr>
        <w:rPr>
          <w:lang w:val="en-GB"/>
        </w:rPr>
      </w:pPr>
    </w:p>
    <w:p w:rsidR="000716C8" w:rsidRPr="001E3FA2" w:rsidRDefault="000716C8" w:rsidP="00D63EBE">
      <w:pPr>
        <w:rPr>
          <w:lang w:val="en-GB"/>
        </w:rPr>
      </w:pPr>
    </w:p>
    <w:p w:rsidR="000716C8" w:rsidRPr="001E3FA2" w:rsidRDefault="00A008B9" w:rsidP="00D63EBE">
      <w:pPr>
        <w:rPr>
          <w:lang w:val="en-GB"/>
        </w:rPr>
      </w:pPr>
      <w:r w:rsidRPr="00A008B9">
        <w:rPr>
          <w:b/>
          <w:noProof/>
          <w:color w:val="333399"/>
          <w:spacing w:val="-6"/>
          <w:sz w:val="40"/>
          <w:szCs w:val="40"/>
          <w:lang w:val="en-GB"/>
        </w:rPr>
        <w:pict>
          <v:shapetype id="_x0000_t202" coordsize="21600,21600" o:spt="202" path="m,l,21600r21600,l21600,xe">
            <v:stroke joinstyle="miter"/>
            <v:path gradientshapeok="t" o:connecttype="rect"/>
          </v:shapetype>
          <v:shape id="_x0000_s1035" type="#_x0000_t202" style="position:absolute;left:0;text-align:left;margin-left:0;margin-top:14.7pt;width:428.15pt;height:89.4pt;z-index:251655680;mso-position-horizontal:center;mso-width-relative:margin;mso-height-relative:margin" stroked="f">
            <v:textbox style="mso-next-textbox:#_x0000_s1035">
              <w:txbxContent>
                <w:p w:rsidR="00812294" w:rsidRDefault="00812294">
                  <w:r>
                    <w:rPr>
                      <w:b/>
                      <w:color w:val="333399"/>
                      <w:spacing w:val="-6"/>
                      <w:sz w:val="40"/>
                      <w:szCs w:val="40"/>
                      <w:lang w:val="en-US"/>
                    </w:rPr>
                    <w:t xml:space="preserve">Economic viability </w:t>
                  </w:r>
                  <w:r w:rsidRPr="008951FF">
                    <w:rPr>
                      <w:b/>
                      <w:color w:val="333399"/>
                      <w:spacing w:val="-6"/>
                      <w:sz w:val="40"/>
                      <w:szCs w:val="40"/>
                      <w:lang w:val="en-US"/>
                    </w:rPr>
                    <w:t>of small PV installations on family houses – the Czech and Austrian case</w:t>
                  </w:r>
                </w:p>
              </w:txbxContent>
            </v:textbox>
          </v:shape>
        </w:pict>
      </w:r>
    </w:p>
    <w:p w:rsidR="000716C8" w:rsidRPr="001E3FA2" w:rsidRDefault="000716C8" w:rsidP="00D63EBE">
      <w:pPr>
        <w:rPr>
          <w:lang w:val="en-GB"/>
        </w:rPr>
      </w:pPr>
    </w:p>
    <w:p w:rsidR="000716C8" w:rsidRPr="001E3FA2" w:rsidRDefault="000716C8" w:rsidP="000716C8">
      <w:pPr>
        <w:pStyle w:val="Kopfzeile"/>
        <w:tabs>
          <w:tab w:val="right" w:pos="1440"/>
        </w:tabs>
        <w:jc w:val="center"/>
        <w:rPr>
          <w:b/>
          <w:color w:val="333399"/>
          <w:spacing w:val="-6"/>
          <w:sz w:val="40"/>
          <w:szCs w:val="40"/>
          <w:lang w:val="en-GB"/>
        </w:rPr>
      </w:pPr>
    </w:p>
    <w:p w:rsidR="000716C8" w:rsidRPr="001E3FA2" w:rsidRDefault="000716C8" w:rsidP="00D63EBE">
      <w:pPr>
        <w:rPr>
          <w:lang w:val="en-GB"/>
        </w:rPr>
      </w:pPr>
    </w:p>
    <w:p w:rsidR="000716C8" w:rsidRPr="001E3FA2" w:rsidRDefault="000716C8" w:rsidP="00D63EBE">
      <w:pPr>
        <w:rPr>
          <w:lang w:val="en-GB"/>
        </w:rPr>
      </w:pPr>
    </w:p>
    <w:p w:rsidR="000716C8" w:rsidRPr="001E3FA2" w:rsidRDefault="00A008B9" w:rsidP="00D63EBE">
      <w:pPr>
        <w:rPr>
          <w:lang w:val="en-GB"/>
        </w:rPr>
      </w:pPr>
      <w:r w:rsidRPr="00A008B9">
        <w:rPr>
          <w:noProof/>
          <w:lang w:val="en-GB"/>
        </w:rPr>
        <w:pict>
          <v:shape id="_x0000_s1036" type="#_x0000_t202" style="position:absolute;left:0;text-align:left;margin-left:89.85pt;margin-top:12.35pt;width:273.75pt;height:50.5pt;z-index:251656704;mso-height-percent:200;mso-height-percent:200;mso-width-relative:margin;mso-height-relative:margin" stroked="f">
            <v:textbox style="mso-next-textbox:#_x0000_s1036;mso-fit-shape-to-text:t">
              <w:txbxContent>
                <w:p w:rsidR="00812294" w:rsidRPr="006A75A7" w:rsidRDefault="00812294" w:rsidP="00B72030">
                  <w:pPr>
                    <w:tabs>
                      <w:tab w:val="left" w:pos="1620"/>
                    </w:tabs>
                    <w:spacing w:before="0" w:after="0" w:line="240" w:lineRule="auto"/>
                    <w:jc w:val="center"/>
                    <w:rPr>
                      <w:b/>
                      <w:bCs/>
                      <w:sz w:val="28"/>
                      <w:szCs w:val="28"/>
                      <w:lang w:val="en-US"/>
                    </w:rPr>
                  </w:pPr>
                  <w:proofErr w:type="spellStart"/>
                  <w:r>
                    <w:rPr>
                      <w:b/>
                      <w:bCs/>
                      <w:sz w:val="28"/>
                      <w:szCs w:val="28"/>
                      <w:lang w:val="en-US"/>
                    </w:rPr>
                    <w:t>Haik</w:t>
                  </w:r>
                  <w:proofErr w:type="spellEnd"/>
                  <w:r>
                    <w:rPr>
                      <w:b/>
                      <w:bCs/>
                      <w:sz w:val="28"/>
                      <w:szCs w:val="28"/>
                      <w:lang w:val="en-US"/>
                    </w:rPr>
                    <w:t xml:space="preserve"> </w:t>
                  </w:r>
                  <w:proofErr w:type="spellStart"/>
                  <w:r>
                    <w:rPr>
                      <w:b/>
                      <w:bCs/>
                      <w:sz w:val="28"/>
                      <w:szCs w:val="28"/>
                      <w:lang w:val="en-US"/>
                    </w:rPr>
                    <w:t>Davtjan</w:t>
                  </w:r>
                  <w:proofErr w:type="spellEnd"/>
                  <w:r>
                    <w:rPr>
                      <w:b/>
                      <w:bCs/>
                      <w:sz w:val="28"/>
                      <w:szCs w:val="28"/>
                      <w:lang w:val="en-US"/>
                    </w:rPr>
                    <w:t xml:space="preserve">, </w:t>
                  </w:r>
                  <w:proofErr w:type="spellStart"/>
                  <w:r>
                    <w:rPr>
                      <w:b/>
                      <w:bCs/>
                      <w:sz w:val="28"/>
                      <w:szCs w:val="28"/>
                      <w:lang w:val="en-US"/>
                    </w:rPr>
                    <w:t>Pavel</w:t>
                  </w:r>
                  <w:proofErr w:type="spellEnd"/>
                  <w:r>
                    <w:rPr>
                      <w:b/>
                      <w:bCs/>
                      <w:sz w:val="28"/>
                      <w:szCs w:val="28"/>
                      <w:lang w:val="en-US"/>
                    </w:rPr>
                    <w:t xml:space="preserve"> </w:t>
                  </w:r>
                  <w:proofErr w:type="spellStart"/>
                  <w:r>
                    <w:rPr>
                      <w:b/>
                      <w:bCs/>
                      <w:sz w:val="28"/>
                      <w:szCs w:val="28"/>
                      <w:lang w:val="en-US"/>
                    </w:rPr>
                    <w:t>Peterka</w:t>
                  </w:r>
                  <w:proofErr w:type="spellEnd"/>
                </w:p>
                <w:p w:rsidR="00812294" w:rsidRDefault="00812294"/>
              </w:txbxContent>
            </v:textbox>
          </v:shape>
        </w:pict>
      </w:r>
    </w:p>
    <w:p w:rsidR="000716C8" w:rsidRPr="001E3FA2" w:rsidRDefault="000716C8" w:rsidP="00D63EBE">
      <w:pPr>
        <w:rPr>
          <w:lang w:val="en-GB"/>
        </w:rPr>
      </w:pPr>
    </w:p>
    <w:p w:rsidR="000716C8" w:rsidRPr="001E3FA2" w:rsidRDefault="000716C8" w:rsidP="00D63EBE">
      <w:pPr>
        <w:rPr>
          <w:lang w:val="en-GB"/>
        </w:rPr>
      </w:pPr>
    </w:p>
    <w:p w:rsidR="007A29A6" w:rsidRPr="001E3FA2" w:rsidRDefault="007A29A6" w:rsidP="00D63EBE">
      <w:pPr>
        <w:rPr>
          <w:lang w:val="en-GB"/>
        </w:rPr>
      </w:pPr>
    </w:p>
    <w:p w:rsidR="007A29A6" w:rsidRPr="001E3FA2" w:rsidRDefault="007A29A6" w:rsidP="00D63EBE">
      <w:pPr>
        <w:rPr>
          <w:lang w:val="en-GB"/>
        </w:rPr>
      </w:pPr>
    </w:p>
    <w:p w:rsidR="000716C8" w:rsidRPr="001E3FA2" w:rsidRDefault="000716C8" w:rsidP="00D63EBE">
      <w:pPr>
        <w:rPr>
          <w:lang w:val="en-GB"/>
        </w:rPr>
      </w:pPr>
    </w:p>
    <w:p w:rsidR="000716C8" w:rsidRPr="001E3FA2" w:rsidRDefault="000716C8" w:rsidP="000716C8">
      <w:pPr>
        <w:jc w:val="center"/>
        <w:rPr>
          <w:lang w:val="en-GB"/>
        </w:rPr>
      </w:pPr>
      <w:r w:rsidRPr="001E3FA2">
        <w:rPr>
          <w:rFonts w:cs="Arial"/>
          <w:sz w:val="28"/>
          <w:szCs w:val="28"/>
          <w:lang w:val="en-GB"/>
        </w:rPr>
        <w:t>Co-operating Universities</w:t>
      </w:r>
    </w:p>
    <w:p w:rsidR="000716C8" w:rsidRPr="001E3FA2" w:rsidRDefault="00A008B9" w:rsidP="00D63EBE">
      <w:pPr>
        <w:rPr>
          <w:lang w:val="en-GB"/>
        </w:rPr>
      </w:pPr>
      <w:r w:rsidRPr="00A008B9">
        <w:rPr>
          <w:noProof/>
          <w:lang w:val="en-GB" w:eastAsia="cs-CZ"/>
        </w:rPr>
        <w:pict>
          <v:group id="_x0000_s1051" style="position:absolute;left:0;text-align:left;margin-left:-26.7pt;margin-top:12.05pt;width:510.5pt;height:57.55pt;z-index:251657728" coordorigin="884,9219" coordsize="10210,1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7" type="#_x0000_t75" style="position:absolute;left:9764;top:9314;width:1330;height:10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q4vrEAAAA2gAAAA8AAABkcnMvZG93bnJldi54bWxEj09rwkAUxO+C32F5Qm914x9aSbMRUQQP&#10;Xkxb9fjIvibR7NuQ3cbYT98tFDwOM/MbJln2phYdta6yrGAyjkAQ51ZXXCj4eN8+L0A4j6yxtkwK&#10;7uRgmQ4HCcba3vhAXeYLESDsYlRQet/EUrq8JINubBvi4H3Z1qAPsi2kbvEW4KaW0yh6kQYrDgsl&#10;NrQuKb9m30YBU1V0l9fox2yOZv95OK3PzTxT6mnUr95AeOr9I/zf3mkFM/i7Em6ATH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zq4vrEAAAA2gAAAA8AAAAAAAAAAAAAAAAA&#10;nwIAAGRycy9kb3ducmV2LnhtbFBLBQYAAAAABAAEAPcAAACQAwAAAAA=&#10;">
              <v:stroke joinstyle="round"/>
              <v:imagedata r:id="rId10" o:title=""/>
            </v:shape>
            <v:shape id="rg_hi" o:spid="_x0000_s1046" type="#_x0000_t75" alt="https://encrypted-tbn2.gstatic.com/images?q=tbn:ANd9GcQG-ipGy7VZtkHuMs5_LUd0UXRO5t8bZR9dMv3ez8w1oV9zZrpStg" style="position:absolute;left:8728;top:9271;width:1007;height:10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9lAnEAAAA2gAAAA8AAABkcnMvZG93bnJldi54bWxEj0FrAjEUhO+C/yE8wZtmVSyyNYqKQqVU&#10;UCult+fmubu4eVmSVLf99U2h4HGYmW+Y6bwxlbiR86VlBYN+AoI4s7rkXMH7cdObgPABWWNlmRR8&#10;k4f5rN2aYqrtnfd0O4RcRAj7FBUUIdSplD4ryKDv25o4ehfrDIYoXS61w3uEm0oOk+RJGiw5LhRY&#10;06qg7Hr4Mgp+TiE7n97c63aLyYg+dvXnejlWqttpFs8gAjXhEf5vv2gFY/i7Em+AnP0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9lAnEAAAA2gAAAA8AAAAAAAAAAAAAAAAA&#10;nwIAAGRycy9kb3ducmV2LnhtbFBLBQYAAAAABAAEAPcAAACQAwAAAAA=&#10;">
              <v:imagedata r:id="rId11" o:title="ANd9GcQG-ipGy7VZtkHuMs5_LUd0UXRO5t8bZR9dMv3ez8w1oV9zZrpStg"/>
            </v:shape>
            <v:shape id="Picture 5" o:spid="_x0000_s1042" type="#_x0000_t75" style="position:absolute;left:5831;top:9319;width:1280;height:10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vtUi+AAAA2gAAAA8AAABkcnMvZG93bnJldi54bWxET8uKwjAU3QvzD+EOuNNUQZGOUUQYR3BT&#10;HwuXl+aalGluOk2m1r83C8Hl4byX697VoqM2VJ4VTMYZCOLS64qNgsv5e7QAESKyxtozKXhQgPXq&#10;Y7DEXPs7H6k7RSNSCIccFdgYm1zKUFpyGMa+IU7czbcOY4KtkbrFewp3tZxm2Vw6rDg1WGxoa6n8&#10;Pf07BdcDd8XsUOjsz/LtZ3ItdsYYpYaf/eYLRKQ+vsUv914rSFvTlXQD5OoJ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evtUi+AAAA2gAAAA8AAAAAAAAAAAAAAAAAnwIAAGRy&#10;cy9kb3ducmV2LnhtbFBLBQYAAAAABAAEAPcAAACKAwAAAAA=&#10;">
              <v:stroke joinstyle="round"/>
              <v:imagedata r:id="rId12" o:title=""/>
            </v:shape>
            <v:shape id="Picture 6" o:spid="_x0000_s1043" type="#_x0000_t75" style="position:absolute;left:7176;top:9219;width:1419;height:10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4DWTAAAAA2gAAAA8AAABkcnMvZG93bnJldi54bWxEj82qwjAUhPeC7xCO4E5TBUWrUcQ/3Oq9&#10;oMtDc2yDzUlpolaf3ly44HKYmW+Y+bKxpXhQ7Y1jBYN+AoI4c9pwruD3Z9ebgPABWWPpmBS8yMNy&#10;0W7NMdXuyUd6nEIuIoR9igqKEKpUSp8VZNH3XUUcvaurLYYo61zqGp8Rbks5TJKxtGg4LhRY0bqg&#10;7Ha6WwUX875sziu6mu3xPhqNX2F/dlqpbqdZzUAEasI3/N8+aAVT+LsSb4Bc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3gNZMAAAADaAAAADwAAAAAAAAAAAAAAAACfAgAA&#10;ZHJzL2Rvd25yZXYueG1sUEsFBgAAAAAEAAQA9wAAAIwDAAAAAA==&#10;">
              <v:stroke joinstyle="round"/>
              <v:imagedata r:id="rId13" o:title=""/>
            </v:shape>
            <v:shape id="Obrázek 10" o:spid="_x0000_s1044" type="#_x0000_t75" alt="logo3.gif" style="position:absolute;left:884;top:9271;width:3524;height:10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7bHvEAAAA2wAAAA8AAABkcnMvZG93bnJldi54bWxEj09rwkAQxe8Fv8MygpdSN7WgJXWVIgr2&#10;4ME/vQ/ZSTZtdjZkVxO/vXMo9DbDe/Peb5brwTfqRl2sAxt4nWagiItga64MXM67l3dQMSFbbAKT&#10;gTtFWK9GT0vMbej5SLdTqpSEcMzRgEupzbWOhSOPcRpaYtHK0HlMsnaVth32Eu4bPcuyufZYszQ4&#10;bGnjqPg9Xb2B/sfFt5nVX+XicNiWu29aFJtnYybj4fMDVKIh/Zv/rvdW8IVefpEB9O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37bHvEAAAA2wAAAA8AAAAAAAAAAAAAAAAA&#10;nwIAAGRycy9kb3ducmV2LnhtbFBLBQYAAAAABAAEAPcAAACQAwAAAAA=&#10;">
              <v:imagedata r:id="rId14" o:title="logo3"/>
            </v:shape>
            <v:shape id="rg_hi" o:spid="_x0000_s1045" type="#_x0000_t75" alt="https://encrypted-tbn1.gstatic.com/images?q=tbn:ANd9GcQLLLh-giuY_dUkCsrGTZuWzFHeayrg0ZC5Xs7XBx5fh3PCR-Z4mg" style="position:absolute;left:4577;top:9283;width:1036;height: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sFPzAAAAA2wAAAA8AAABkcnMvZG93bnJldi54bWxET01rAjEQvRf8D2GE3mqiB1tWs4sIgvWk&#10;tsXruBk3i5vJskk1/femUOhtHu9zllVynbjREFrPGqYTBYK49qblRsPnx+blDUSIyAY7z6ThhwJU&#10;5ehpiYXxdz7Q7RgbkUM4FKjBxtgXUobaksMw8T1x5i5+cBgzHBppBrzncNfJmVJz6bDl3GCxp7Wl&#10;+nr8dhpS3LqTWr3vzur6RRe7r9PrIWj9PE6rBYhIKf6L/9xbk+dP4feXfIAs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KwU/MAAAADbAAAADwAAAAAAAAAAAAAAAACfAgAA&#10;ZHJzL2Rvd25yZXYueG1sUEsFBgAAAAAEAAQA9wAAAIwDAAAAAA==&#10;">
              <v:imagedata r:id="rId15" o:title="ANd9GcQLLLh-giuY_dUkCsrGTZuWzFHeayrg0ZC5Xs7XBx5fh3PCR-Z4mg"/>
            </v:shape>
          </v:group>
        </w:pict>
      </w:r>
    </w:p>
    <w:p w:rsidR="000716C8" w:rsidRPr="001E3FA2" w:rsidRDefault="000716C8" w:rsidP="000716C8">
      <w:pPr>
        <w:jc w:val="center"/>
        <w:rPr>
          <w:lang w:val="en-GB"/>
        </w:rPr>
      </w:pPr>
      <w:r w:rsidRPr="001E3FA2">
        <w:rPr>
          <w:lang w:val="en-GB"/>
        </w:rPr>
        <w:t xml:space="preserve">                     </w:t>
      </w:r>
    </w:p>
    <w:p w:rsidR="000716C8" w:rsidRPr="001E3FA2" w:rsidRDefault="000716C8" w:rsidP="00D63EBE">
      <w:pPr>
        <w:rPr>
          <w:lang w:val="en-GB"/>
        </w:rPr>
      </w:pPr>
    </w:p>
    <w:p w:rsidR="000716C8" w:rsidRPr="001E3FA2" w:rsidRDefault="000716C8" w:rsidP="00D63EBE">
      <w:pPr>
        <w:rPr>
          <w:lang w:val="en-GB"/>
        </w:rPr>
      </w:pPr>
    </w:p>
    <w:p w:rsidR="000716C8" w:rsidRPr="001E3FA2" w:rsidRDefault="000716C8" w:rsidP="000716C8">
      <w:pPr>
        <w:jc w:val="center"/>
        <w:rPr>
          <w:lang w:val="en-GB"/>
        </w:rPr>
      </w:pPr>
    </w:p>
    <w:p w:rsidR="000716C8" w:rsidRPr="001E3FA2" w:rsidRDefault="000716C8" w:rsidP="000716C8">
      <w:pPr>
        <w:jc w:val="center"/>
        <w:rPr>
          <w:lang w:val="en-GB"/>
        </w:rPr>
      </w:pPr>
      <w:r w:rsidRPr="001E3FA2">
        <w:rPr>
          <w:rFonts w:cs="Arial"/>
          <w:sz w:val="28"/>
          <w:szCs w:val="28"/>
          <w:lang w:val="en-GB"/>
        </w:rPr>
        <w:t>Financial support by</w:t>
      </w:r>
    </w:p>
    <w:p w:rsidR="000716C8" w:rsidRPr="001E3FA2" w:rsidRDefault="000716C8" w:rsidP="00D63EBE">
      <w:pPr>
        <w:rPr>
          <w:lang w:val="en-GB"/>
        </w:rPr>
      </w:pPr>
    </w:p>
    <w:p w:rsidR="000716C8" w:rsidRPr="001E3FA2" w:rsidRDefault="00BD75AB" w:rsidP="000716C8">
      <w:pPr>
        <w:jc w:val="center"/>
        <w:rPr>
          <w:lang w:val="en-GB"/>
        </w:rPr>
      </w:pPr>
      <w:r w:rsidRPr="001E3FA2">
        <w:rPr>
          <w:noProof/>
          <w:lang w:val="et-EE" w:eastAsia="et-EE"/>
        </w:rPr>
        <w:drawing>
          <wp:inline distT="0" distB="0" distL="0" distR="0">
            <wp:extent cx="1052195" cy="9144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052195" cy="914400"/>
                    </a:xfrm>
                    <a:prstGeom prst="rect">
                      <a:avLst/>
                    </a:prstGeom>
                    <a:noFill/>
                    <a:ln w="9525">
                      <a:noFill/>
                      <a:miter lim="800000"/>
                      <a:headEnd/>
                      <a:tailEnd/>
                    </a:ln>
                  </pic:spPr>
                </pic:pic>
              </a:graphicData>
            </a:graphic>
          </wp:inline>
        </w:drawing>
      </w:r>
      <w:r w:rsidR="000716C8" w:rsidRPr="001E3FA2">
        <w:rPr>
          <w:lang w:val="en-GB"/>
        </w:rPr>
        <w:t xml:space="preserve">        </w:t>
      </w:r>
      <w:r w:rsidRPr="001E3FA2">
        <w:rPr>
          <w:noProof/>
          <w:lang w:val="et-EE" w:eastAsia="et-EE"/>
        </w:rPr>
        <w:drawing>
          <wp:inline distT="0" distB="0" distL="0" distR="0">
            <wp:extent cx="1242060" cy="88836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242060" cy="888365"/>
                    </a:xfrm>
                    <a:prstGeom prst="rect">
                      <a:avLst/>
                    </a:prstGeom>
                    <a:noFill/>
                    <a:ln w="9525">
                      <a:noFill/>
                      <a:miter lim="800000"/>
                      <a:headEnd/>
                      <a:tailEnd/>
                    </a:ln>
                  </pic:spPr>
                </pic:pic>
              </a:graphicData>
            </a:graphic>
          </wp:inline>
        </w:drawing>
      </w:r>
    </w:p>
    <w:p w:rsidR="000716C8" w:rsidRPr="001E3FA2" w:rsidRDefault="000716C8" w:rsidP="000716C8">
      <w:pPr>
        <w:jc w:val="center"/>
        <w:rPr>
          <w:lang w:val="en-GB"/>
        </w:rPr>
      </w:pPr>
    </w:p>
    <w:p w:rsidR="000716C8" w:rsidRPr="001E3FA2" w:rsidRDefault="000716C8" w:rsidP="000716C8">
      <w:pPr>
        <w:jc w:val="center"/>
        <w:rPr>
          <w:lang w:val="en-GB"/>
        </w:rPr>
      </w:pPr>
    </w:p>
    <w:p w:rsidR="000716C8" w:rsidRPr="001E3FA2" w:rsidRDefault="000C7046" w:rsidP="008A1474">
      <w:pPr>
        <w:spacing w:before="0" w:after="0" w:line="240" w:lineRule="auto"/>
        <w:jc w:val="center"/>
        <w:rPr>
          <w:b/>
          <w:bCs/>
          <w:szCs w:val="24"/>
          <w:lang w:val="en-GB"/>
        </w:rPr>
        <w:sectPr w:rsidR="000716C8" w:rsidRPr="001E3FA2" w:rsidSect="007138CE">
          <w:pgSz w:w="11906" w:h="16838" w:code="9"/>
          <w:pgMar w:top="1418" w:right="1418" w:bottom="1418" w:left="1418" w:header="709" w:footer="709" w:gutter="0"/>
          <w:cols w:space="708"/>
          <w:titlePg/>
          <w:docGrid w:linePitch="360"/>
        </w:sectPr>
      </w:pPr>
      <w:r w:rsidRPr="001E3FA2">
        <w:rPr>
          <w:b/>
          <w:bCs/>
          <w:szCs w:val="24"/>
          <w:lang w:val="en-GB"/>
        </w:rPr>
        <w:t>Prague and Vienna, 201</w:t>
      </w:r>
      <w:r w:rsidR="009C0888" w:rsidRPr="001E3FA2">
        <w:rPr>
          <w:b/>
          <w:bCs/>
          <w:szCs w:val="24"/>
          <w:lang w:val="en-GB"/>
        </w:rPr>
        <w:t>5</w:t>
      </w:r>
    </w:p>
    <w:p w:rsidR="00154B27" w:rsidRPr="001E3FA2" w:rsidRDefault="008A1474" w:rsidP="0069771B">
      <w:pPr>
        <w:pStyle w:val="berschrift1"/>
        <w:rPr>
          <w:lang w:val="en-GB"/>
        </w:rPr>
      </w:pPr>
      <w:bookmarkStart w:id="0" w:name="_Toc422916315"/>
      <w:r w:rsidRPr="001E3FA2">
        <w:rPr>
          <w:lang w:val="en-GB"/>
        </w:rPr>
        <w:lastRenderedPageBreak/>
        <w:t>Content</w:t>
      </w:r>
      <w:bookmarkEnd w:id="0"/>
    </w:p>
    <w:p w:rsidR="00796F8C" w:rsidRDefault="00A008B9">
      <w:pPr>
        <w:pStyle w:val="Verzeichnis1"/>
        <w:rPr>
          <w:rFonts w:asciiTheme="minorHAnsi" w:eastAsiaTheme="minorEastAsia" w:hAnsiTheme="minorHAnsi" w:cstheme="minorBidi"/>
          <w:b w:val="0"/>
          <w:noProof/>
          <w:lang w:val="et-EE" w:eastAsia="et-EE"/>
        </w:rPr>
      </w:pPr>
      <w:r w:rsidRPr="00A008B9">
        <w:rPr>
          <w:lang w:val="en-GB"/>
        </w:rPr>
        <w:fldChar w:fldCharType="begin"/>
      </w:r>
      <w:r w:rsidR="00154B27" w:rsidRPr="001E3FA2">
        <w:rPr>
          <w:lang w:val="en-GB"/>
        </w:rPr>
        <w:instrText xml:space="preserve"> TOC \o "1-3" \h \z \u </w:instrText>
      </w:r>
      <w:r w:rsidRPr="00A008B9">
        <w:rPr>
          <w:lang w:val="en-GB"/>
        </w:rPr>
        <w:fldChar w:fldCharType="separate"/>
      </w:r>
      <w:hyperlink w:anchor="_Toc422916315" w:history="1">
        <w:r w:rsidR="00796F8C" w:rsidRPr="005018E9">
          <w:rPr>
            <w:rStyle w:val="Hyperlink"/>
            <w:noProof/>
            <w:lang w:val="en-GB"/>
          </w:rPr>
          <w:t>Content</w:t>
        </w:r>
        <w:r w:rsidR="00796F8C">
          <w:rPr>
            <w:noProof/>
            <w:webHidden/>
          </w:rPr>
          <w:tab/>
        </w:r>
        <w:r>
          <w:rPr>
            <w:noProof/>
            <w:webHidden/>
          </w:rPr>
          <w:fldChar w:fldCharType="begin"/>
        </w:r>
        <w:r w:rsidR="00796F8C">
          <w:rPr>
            <w:noProof/>
            <w:webHidden/>
          </w:rPr>
          <w:instrText xml:space="preserve"> PAGEREF _Toc422916315 \h </w:instrText>
        </w:r>
        <w:r>
          <w:rPr>
            <w:noProof/>
            <w:webHidden/>
          </w:rPr>
        </w:r>
        <w:r>
          <w:rPr>
            <w:noProof/>
            <w:webHidden/>
          </w:rPr>
          <w:fldChar w:fldCharType="separate"/>
        </w:r>
        <w:r w:rsidR="00796F8C">
          <w:rPr>
            <w:noProof/>
            <w:webHidden/>
          </w:rPr>
          <w:t>2</w:t>
        </w:r>
        <w:r>
          <w:rPr>
            <w:noProof/>
            <w:webHidden/>
          </w:rPr>
          <w:fldChar w:fldCharType="end"/>
        </w:r>
      </w:hyperlink>
    </w:p>
    <w:p w:rsidR="00796F8C" w:rsidRDefault="00A008B9">
      <w:pPr>
        <w:pStyle w:val="Verzeichnis1"/>
        <w:rPr>
          <w:rFonts w:asciiTheme="minorHAnsi" w:eastAsiaTheme="minorEastAsia" w:hAnsiTheme="minorHAnsi" w:cstheme="minorBidi"/>
          <w:b w:val="0"/>
          <w:noProof/>
          <w:lang w:val="et-EE" w:eastAsia="et-EE"/>
        </w:rPr>
      </w:pPr>
      <w:hyperlink w:anchor="_Toc422916316" w:history="1">
        <w:r w:rsidR="00796F8C" w:rsidRPr="005018E9">
          <w:rPr>
            <w:rStyle w:val="Hyperlink"/>
            <w:noProof/>
            <w:lang w:val="en-GB"/>
          </w:rPr>
          <w:t>Abstract</w:t>
        </w:r>
        <w:r w:rsidR="00796F8C">
          <w:rPr>
            <w:noProof/>
            <w:webHidden/>
          </w:rPr>
          <w:tab/>
        </w:r>
        <w:r>
          <w:rPr>
            <w:noProof/>
            <w:webHidden/>
          </w:rPr>
          <w:fldChar w:fldCharType="begin"/>
        </w:r>
        <w:r w:rsidR="00796F8C">
          <w:rPr>
            <w:noProof/>
            <w:webHidden/>
          </w:rPr>
          <w:instrText xml:space="preserve"> PAGEREF _Toc422916316 \h </w:instrText>
        </w:r>
        <w:r>
          <w:rPr>
            <w:noProof/>
            <w:webHidden/>
          </w:rPr>
        </w:r>
        <w:r>
          <w:rPr>
            <w:noProof/>
            <w:webHidden/>
          </w:rPr>
          <w:fldChar w:fldCharType="separate"/>
        </w:r>
        <w:r w:rsidR="00796F8C">
          <w:rPr>
            <w:noProof/>
            <w:webHidden/>
          </w:rPr>
          <w:t>3</w:t>
        </w:r>
        <w:r>
          <w:rPr>
            <w:noProof/>
            <w:webHidden/>
          </w:rPr>
          <w:fldChar w:fldCharType="end"/>
        </w:r>
      </w:hyperlink>
    </w:p>
    <w:p w:rsidR="00796F8C" w:rsidRDefault="00A008B9">
      <w:pPr>
        <w:pStyle w:val="Verzeichnis1"/>
        <w:rPr>
          <w:rFonts w:asciiTheme="minorHAnsi" w:eastAsiaTheme="minorEastAsia" w:hAnsiTheme="minorHAnsi" w:cstheme="minorBidi"/>
          <w:b w:val="0"/>
          <w:noProof/>
          <w:lang w:val="et-EE" w:eastAsia="et-EE"/>
        </w:rPr>
      </w:pPr>
      <w:hyperlink w:anchor="_Toc422916317" w:history="1">
        <w:r w:rsidR="00796F8C" w:rsidRPr="005018E9">
          <w:rPr>
            <w:rStyle w:val="Hyperlink"/>
            <w:noProof/>
            <w:lang w:val="en-GB"/>
          </w:rPr>
          <w:t>1.</w:t>
        </w:r>
        <w:r w:rsidR="00796F8C">
          <w:rPr>
            <w:rFonts w:asciiTheme="minorHAnsi" w:eastAsiaTheme="minorEastAsia" w:hAnsiTheme="minorHAnsi" w:cstheme="minorBidi"/>
            <w:b w:val="0"/>
            <w:noProof/>
            <w:lang w:val="et-EE" w:eastAsia="et-EE"/>
          </w:rPr>
          <w:tab/>
        </w:r>
        <w:r w:rsidR="00796F8C" w:rsidRPr="005018E9">
          <w:rPr>
            <w:rStyle w:val="Hyperlink"/>
            <w:noProof/>
            <w:lang w:val="en-GB"/>
          </w:rPr>
          <w:t>Motivation</w:t>
        </w:r>
        <w:r w:rsidR="00796F8C">
          <w:rPr>
            <w:noProof/>
            <w:webHidden/>
          </w:rPr>
          <w:tab/>
        </w:r>
        <w:r>
          <w:rPr>
            <w:noProof/>
            <w:webHidden/>
          </w:rPr>
          <w:fldChar w:fldCharType="begin"/>
        </w:r>
        <w:r w:rsidR="00796F8C">
          <w:rPr>
            <w:noProof/>
            <w:webHidden/>
          </w:rPr>
          <w:instrText xml:space="preserve"> PAGEREF _Toc422916317 \h </w:instrText>
        </w:r>
        <w:r>
          <w:rPr>
            <w:noProof/>
            <w:webHidden/>
          </w:rPr>
        </w:r>
        <w:r>
          <w:rPr>
            <w:noProof/>
            <w:webHidden/>
          </w:rPr>
          <w:fldChar w:fldCharType="separate"/>
        </w:r>
        <w:r w:rsidR="00796F8C">
          <w:rPr>
            <w:noProof/>
            <w:webHidden/>
          </w:rPr>
          <w:t>3</w:t>
        </w:r>
        <w:r>
          <w:rPr>
            <w:noProof/>
            <w:webHidden/>
          </w:rPr>
          <w:fldChar w:fldCharType="end"/>
        </w:r>
      </w:hyperlink>
    </w:p>
    <w:p w:rsidR="00796F8C" w:rsidRDefault="00A008B9">
      <w:pPr>
        <w:pStyle w:val="Verzeichnis1"/>
        <w:rPr>
          <w:rFonts w:asciiTheme="minorHAnsi" w:eastAsiaTheme="minorEastAsia" w:hAnsiTheme="minorHAnsi" w:cstheme="minorBidi"/>
          <w:b w:val="0"/>
          <w:noProof/>
          <w:lang w:val="et-EE" w:eastAsia="et-EE"/>
        </w:rPr>
      </w:pPr>
      <w:hyperlink w:anchor="_Toc422916318" w:history="1">
        <w:r w:rsidR="00796F8C" w:rsidRPr="005018E9">
          <w:rPr>
            <w:rStyle w:val="Hyperlink"/>
            <w:noProof/>
            <w:lang w:val="en-GB"/>
          </w:rPr>
          <w:t>2.</w:t>
        </w:r>
        <w:r w:rsidR="00796F8C">
          <w:rPr>
            <w:rFonts w:asciiTheme="minorHAnsi" w:eastAsiaTheme="minorEastAsia" w:hAnsiTheme="minorHAnsi" w:cstheme="minorBidi"/>
            <w:b w:val="0"/>
            <w:noProof/>
            <w:lang w:val="et-EE" w:eastAsia="et-EE"/>
          </w:rPr>
          <w:tab/>
        </w:r>
        <w:r w:rsidR="00796F8C" w:rsidRPr="005018E9">
          <w:rPr>
            <w:rStyle w:val="Hyperlink"/>
            <w:noProof/>
            <w:lang w:val="en-GB"/>
          </w:rPr>
          <w:t>PV Technology Overview</w:t>
        </w:r>
        <w:r w:rsidR="00796F8C">
          <w:rPr>
            <w:noProof/>
            <w:webHidden/>
          </w:rPr>
          <w:tab/>
        </w:r>
        <w:r>
          <w:rPr>
            <w:noProof/>
            <w:webHidden/>
          </w:rPr>
          <w:fldChar w:fldCharType="begin"/>
        </w:r>
        <w:r w:rsidR="00796F8C">
          <w:rPr>
            <w:noProof/>
            <w:webHidden/>
          </w:rPr>
          <w:instrText xml:space="preserve"> PAGEREF _Toc422916318 \h </w:instrText>
        </w:r>
        <w:r>
          <w:rPr>
            <w:noProof/>
            <w:webHidden/>
          </w:rPr>
        </w:r>
        <w:r>
          <w:rPr>
            <w:noProof/>
            <w:webHidden/>
          </w:rPr>
          <w:fldChar w:fldCharType="separate"/>
        </w:r>
        <w:r w:rsidR="00796F8C">
          <w:rPr>
            <w:noProof/>
            <w:webHidden/>
          </w:rPr>
          <w:t>4</w:t>
        </w:r>
        <w:r>
          <w:rPr>
            <w:noProof/>
            <w:webHidden/>
          </w:rPr>
          <w:fldChar w:fldCharType="end"/>
        </w:r>
      </w:hyperlink>
    </w:p>
    <w:p w:rsidR="00796F8C" w:rsidRDefault="00A008B9">
      <w:pPr>
        <w:pStyle w:val="Verzeichnis1"/>
        <w:rPr>
          <w:rFonts w:asciiTheme="minorHAnsi" w:eastAsiaTheme="minorEastAsia" w:hAnsiTheme="minorHAnsi" w:cstheme="minorBidi"/>
          <w:b w:val="0"/>
          <w:noProof/>
          <w:lang w:val="et-EE" w:eastAsia="et-EE"/>
        </w:rPr>
      </w:pPr>
      <w:hyperlink w:anchor="_Toc422916319" w:history="1">
        <w:r w:rsidR="00796F8C" w:rsidRPr="005018E9">
          <w:rPr>
            <w:rStyle w:val="Hyperlink"/>
            <w:noProof/>
            <w:lang w:val="en-GB"/>
          </w:rPr>
          <w:t>3.</w:t>
        </w:r>
        <w:r w:rsidR="00796F8C">
          <w:rPr>
            <w:rFonts w:asciiTheme="minorHAnsi" w:eastAsiaTheme="minorEastAsia" w:hAnsiTheme="minorHAnsi" w:cstheme="minorBidi"/>
            <w:b w:val="0"/>
            <w:noProof/>
            <w:lang w:val="et-EE" w:eastAsia="et-EE"/>
          </w:rPr>
          <w:tab/>
        </w:r>
        <w:r w:rsidR="00796F8C" w:rsidRPr="005018E9">
          <w:rPr>
            <w:rStyle w:val="Hyperlink"/>
            <w:noProof/>
            <w:lang w:val="en-GB"/>
          </w:rPr>
          <w:t>Problem Statement</w:t>
        </w:r>
        <w:r w:rsidR="00796F8C">
          <w:rPr>
            <w:noProof/>
            <w:webHidden/>
          </w:rPr>
          <w:tab/>
        </w:r>
        <w:r>
          <w:rPr>
            <w:noProof/>
            <w:webHidden/>
          </w:rPr>
          <w:fldChar w:fldCharType="begin"/>
        </w:r>
        <w:r w:rsidR="00796F8C">
          <w:rPr>
            <w:noProof/>
            <w:webHidden/>
          </w:rPr>
          <w:instrText xml:space="preserve"> PAGEREF _Toc422916319 \h </w:instrText>
        </w:r>
        <w:r>
          <w:rPr>
            <w:noProof/>
            <w:webHidden/>
          </w:rPr>
        </w:r>
        <w:r>
          <w:rPr>
            <w:noProof/>
            <w:webHidden/>
          </w:rPr>
          <w:fldChar w:fldCharType="separate"/>
        </w:r>
        <w:r w:rsidR="00796F8C">
          <w:rPr>
            <w:noProof/>
            <w:webHidden/>
          </w:rPr>
          <w:t>4</w:t>
        </w:r>
        <w:r>
          <w:rPr>
            <w:noProof/>
            <w:webHidden/>
          </w:rPr>
          <w:fldChar w:fldCharType="end"/>
        </w:r>
      </w:hyperlink>
    </w:p>
    <w:p w:rsidR="00796F8C" w:rsidRDefault="00A008B9">
      <w:pPr>
        <w:pStyle w:val="Verzeichnis1"/>
        <w:rPr>
          <w:rFonts w:asciiTheme="minorHAnsi" w:eastAsiaTheme="minorEastAsia" w:hAnsiTheme="minorHAnsi" w:cstheme="minorBidi"/>
          <w:b w:val="0"/>
          <w:noProof/>
          <w:lang w:val="et-EE" w:eastAsia="et-EE"/>
        </w:rPr>
      </w:pPr>
      <w:hyperlink w:anchor="_Toc422916320" w:history="1">
        <w:r w:rsidR="00796F8C" w:rsidRPr="005018E9">
          <w:rPr>
            <w:rStyle w:val="Hyperlink"/>
            <w:noProof/>
            <w:lang w:val="en-GB"/>
          </w:rPr>
          <w:t>4.</w:t>
        </w:r>
        <w:r w:rsidR="00796F8C">
          <w:rPr>
            <w:rFonts w:asciiTheme="minorHAnsi" w:eastAsiaTheme="minorEastAsia" w:hAnsiTheme="minorHAnsi" w:cstheme="minorBidi"/>
            <w:b w:val="0"/>
            <w:noProof/>
            <w:lang w:val="et-EE" w:eastAsia="et-EE"/>
          </w:rPr>
          <w:tab/>
        </w:r>
        <w:r w:rsidR="00796F8C" w:rsidRPr="005018E9">
          <w:rPr>
            <w:rStyle w:val="Hyperlink"/>
            <w:noProof/>
            <w:lang w:val="en-GB"/>
          </w:rPr>
          <w:t>Results</w:t>
        </w:r>
        <w:r w:rsidR="00796F8C">
          <w:rPr>
            <w:noProof/>
            <w:webHidden/>
          </w:rPr>
          <w:tab/>
        </w:r>
        <w:r>
          <w:rPr>
            <w:noProof/>
            <w:webHidden/>
          </w:rPr>
          <w:fldChar w:fldCharType="begin"/>
        </w:r>
        <w:r w:rsidR="00796F8C">
          <w:rPr>
            <w:noProof/>
            <w:webHidden/>
          </w:rPr>
          <w:instrText xml:space="preserve"> PAGEREF _Toc422916320 \h </w:instrText>
        </w:r>
        <w:r>
          <w:rPr>
            <w:noProof/>
            <w:webHidden/>
          </w:rPr>
        </w:r>
        <w:r>
          <w:rPr>
            <w:noProof/>
            <w:webHidden/>
          </w:rPr>
          <w:fldChar w:fldCharType="separate"/>
        </w:r>
        <w:r w:rsidR="00796F8C">
          <w:rPr>
            <w:noProof/>
            <w:webHidden/>
          </w:rPr>
          <w:t>5</w:t>
        </w:r>
        <w:r>
          <w:rPr>
            <w:noProof/>
            <w:webHidden/>
          </w:rPr>
          <w:fldChar w:fldCharType="end"/>
        </w:r>
      </w:hyperlink>
    </w:p>
    <w:p w:rsidR="00796F8C" w:rsidRDefault="00A008B9">
      <w:pPr>
        <w:pStyle w:val="Verzeichnis2"/>
        <w:rPr>
          <w:rFonts w:asciiTheme="minorHAnsi" w:eastAsiaTheme="minorEastAsia" w:hAnsiTheme="minorHAnsi" w:cstheme="minorBidi"/>
          <w:noProof/>
          <w:szCs w:val="22"/>
          <w:lang w:val="et-EE" w:eastAsia="et-EE"/>
        </w:rPr>
      </w:pPr>
      <w:hyperlink w:anchor="_Toc422916321" w:history="1">
        <w:r w:rsidR="00796F8C" w:rsidRPr="005018E9">
          <w:rPr>
            <w:rStyle w:val="Hyperlink"/>
            <w:noProof/>
            <w:lang w:val="en-GB"/>
          </w:rPr>
          <w:t>Investment Costs</w:t>
        </w:r>
        <w:r w:rsidR="00796F8C">
          <w:rPr>
            <w:noProof/>
            <w:webHidden/>
          </w:rPr>
          <w:tab/>
        </w:r>
        <w:r>
          <w:rPr>
            <w:noProof/>
            <w:webHidden/>
          </w:rPr>
          <w:fldChar w:fldCharType="begin"/>
        </w:r>
        <w:r w:rsidR="00796F8C">
          <w:rPr>
            <w:noProof/>
            <w:webHidden/>
          </w:rPr>
          <w:instrText xml:space="preserve"> PAGEREF _Toc422916321 \h </w:instrText>
        </w:r>
        <w:r>
          <w:rPr>
            <w:noProof/>
            <w:webHidden/>
          </w:rPr>
        </w:r>
        <w:r>
          <w:rPr>
            <w:noProof/>
            <w:webHidden/>
          </w:rPr>
          <w:fldChar w:fldCharType="separate"/>
        </w:r>
        <w:r w:rsidR="00796F8C">
          <w:rPr>
            <w:noProof/>
            <w:webHidden/>
          </w:rPr>
          <w:t>5</w:t>
        </w:r>
        <w:r>
          <w:rPr>
            <w:noProof/>
            <w:webHidden/>
          </w:rPr>
          <w:fldChar w:fldCharType="end"/>
        </w:r>
      </w:hyperlink>
    </w:p>
    <w:p w:rsidR="00796F8C" w:rsidRDefault="00A008B9">
      <w:pPr>
        <w:pStyle w:val="Verzeichnis2"/>
        <w:rPr>
          <w:rFonts w:asciiTheme="minorHAnsi" w:eastAsiaTheme="minorEastAsia" w:hAnsiTheme="minorHAnsi" w:cstheme="minorBidi"/>
          <w:noProof/>
          <w:szCs w:val="22"/>
          <w:lang w:val="et-EE" w:eastAsia="et-EE"/>
        </w:rPr>
      </w:pPr>
      <w:hyperlink w:anchor="_Toc422916322" w:history="1">
        <w:r w:rsidR="00796F8C" w:rsidRPr="005018E9">
          <w:rPr>
            <w:rStyle w:val="Hyperlink"/>
            <w:noProof/>
            <w:lang w:val="en-GB"/>
          </w:rPr>
          <w:t>Operation Costs</w:t>
        </w:r>
        <w:r w:rsidR="00796F8C">
          <w:rPr>
            <w:noProof/>
            <w:webHidden/>
          </w:rPr>
          <w:tab/>
        </w:r>
        <w:r>
          <w:rPr>
            <w:noProof/>
            <w:webHidden/>
          </w:rPr>
          <w:fldChar w:fldCharType="begin"/>
        </w:r>
        <w:r w:rsidR="00796F8C">
          <w:rPr>
            <w:noProof/>
            <w:webHidden/>
          </w:rPr>
          <w:instrText xml:space="preserve"> PAGEREF _Toc422916322 \h </w:instrText>
        </w:r>
        <w:r>
          <w:rPr>
            <w:noProof/>
            <w:webHidden/>
          </w:rPr>
        </w:r>
        <w:r>
          <w:rPr>
            <w:noProof/>
            <w:webHidden/>
          </w:rPr>
          <w:fldChar w:fldCharType="separate"/>
        </w:r>
        <w:r w:rsidR="00796F8C">
          <w:rPr>
            <w:noProof/>
            <w:webHidden/>
          </w:rPr>
          <w:t>6</w:t>
        </w:r>
        <w:r>
          <w:rPr>
            <w:noProof/>
            <w:webHidden/>
          </w:rPr>
          <w:fldChar w:fldCharType="end"/>
        </w:r>
      </w:hyperlink>
    </w:p>
    <w:p w:rsidR="00796F8C" w:rsidRDefault="00A008B9">
      <w:pPr>
        <w:pStyle w:val="Verzeichnis2"/>
        <w:rPr>
          <w:rFonts w:asciiTheme="minorHAnsi" w:eastAsiaTheme="minorEastAsia" w:hAnsiTheme="minorHAnsi" w:cstheme="minorBidi"/>
          <w:noProof/>
          <w:szCs w:val="22"/>
          <w:lang w:val="et-EE" w:eastAsia="et-EE"/>
        </w:rPr>
      </w:pPr>
      <w:hyperlink w:anchor="_Toc422916323" w:history="1">
        <w:r w:rsidR="00796F8C" w:rsidRPr="005018E9">
          <w:rPr>
            <w:rStyle w:val="Hyperlink"/>
            <w:noProof/>
            <w:lang w:val="en-GB"/>
          </w:rPr>
          <w:t>Legislative</w:t>
        </w:r>
        <w:r w:rsidR="00796F8C">
          <w:rPr>
            <w:noProof/>
            <w:webHidden/>
          </w:rPr>
          <w:tab/>
        </w:r>
        <w:r>
          <w:rPr>
            <w:noProof/>
            <w:webHidden/>
          </w:rPr>
          <w:fldChar w:fldCharType="begin"/>
        </w:r>
        <w:r w:rsidR="00796F8C">
          <w:rPr>
            <w:noProof/>
            <w:webHidden/>
          </w:rPr>
          <w:instrText xml:space="preserve"> PAGEREF _Toc422916323 \h </w:instrText>
        </w:r>
        <w:r>
          <w:rPr>
            <w:noProof/>
            <w:webHidden/>
          </w:rPr>
        </w:r>
        <w:r>
          <w:rPr>
            <w:noProof/>
            <w:webHidden/>
          </w:rPr>
          <w:fldChar w:fldCharType="separate"/>
        </w:r>
        <w:r w:rsidR="00796F8C">
          <w:rPr>
            <w:noProof/>
            <w:webHidden/>
          </w:rPr>
          <w:t>6</w:t>
        </w:r>
        <w:r>
          <w:rPr>
            <w:noProof/>
            <w:webHidden/>
          </w:rPr>
          <w:fldChar w:fldCharType="end"/>
        </w:r>
      </w:hyperlink>
    </w:p>
    <w:p w:rsidR="00796F8C" w:rsidRDefault="00A008B9">
      <w:pPr>
        <w:pStyle w:val="Verzeichnis2"/>
        <w:rPr>
          <w:rFonts w:asciiTheme="minorHAnsi" w:eastAsiaTheme="minorEastAsia" w:hAnsiTheme="minorHAnsi" w:cstheme="minorBidi"/>
          <w:noProof/>
          <w:szCs w:val="22"/>
          <w:lang w:val="et-EE" w:eastAsia="et-EE"/>
        </w:rPr>
      </w:pPr>
      <w:hyperlink w:anchor="_Toc422916324" w:history="1">
        <w:r w:rsidR="00796F8C" w:rsidRPr="005018E9">
          <w:rPr>
            <w:rStyle w:val="Hyperlink"/>
            <w:noProof/>
            <w:lang w:val="en-GB"/>
          </w:rPr>
          <w:t>Grid Connection</w:t>
        </w:r>
        <w:r w:rsidR="00796F8C">
          <w:rPr>
            <w:noProof/>
            <w:webHidden/>
          </w:rPr>
          <w:tab/>
        </w:r>
        <w:r>
          <w:rPr>
            <w:noProof/>
            <w:webHidden/>
          </w:rPr>
          <w:fldChar w:fldCharType="begin"/>
        </w:r>
        <w:r w:rsidR="00796F8C">
          <w:rPr>
            <w:noProof/>
            <w:webHidden/>
          </w:rPr>
          <w:instrText xml:space="preserve"> PAGEREF _Toc422916324 \h </w:instrText>
        </w:r>
        <w:r>
          <w:rPr>
            <w:noProof/>
            <w:webHidden/>
          </w:rPr>
        </w:r>
        <w:r>
          <w:rPr>
            <w:noProof/>
            <w:webHidden/>
          </w:rPr>
          <w:fldChar w:fldCharType="separate"/>
        </w:r>
        <w:r w:rsidR="00796F8C">
          <w:rPr>
            <w:noProof/>
            <w:webHidden/>
          </w:rPr>
          <w:t>7</w:t>
        </w:r>
        <w:r>
          <w:rPr>
            <w:noProof/>
            <w:webHidden/>
          </w:rPr>
          <w:fldChar w:fldCharType="end"/>
        </w:r>
      </w:hyperlink>
    </w:p>
    <w:p w:rsidR="00796F8C" w:rsidRDefault="00A008B9">
      <w:pPr>
        <w:pStyle w:val="Verzeichnis2"/>
        <w:rPr>
          <w:rFonts w:asciiTheme="minorHAnsi" w:eastAsiaTheme="minorEastAsia" w:hAnsiTheme="minorHAnsi" w:cstheme="minorBidi"/>
          <w:noProof/>
          <w:szCs w:val="22"/>
          <w:lang w:val="et-EE" w:eastAsia="et-EE"/>
        </w:rPr>
      </w:pPr>
      <w:hyperlink w:anchor="_Toc422916325" w:history="1">
        <w:r w:rsidR="00796F8C" w:rsidRPr="005018E9">
          <w:rPr>
            <w:rStyle w:val="Hyperlink"/>
            <w:noProof/>
            <w:lang w:val="en-GB"/>
          </w:rPr>
          <w:t>Storing Energy</w:t>
        </w:r>
        <w:r w:rsidR="00796F8C">
          <w:rPr>
            <w:noProof/>
            <w:webHidden/>
          </w:rPr>
          <w:tab/>
        </w:r>
        <w:r>
          <w:rPr>
            <w:noProof/>
            <w:webHidden/>
          </w:rPr>
          <w:fldChar w:fldCharType="begin"/>
        </w:r>
        <w:r w:rsidR="00796F8C">
          <w:rPr>
            <w:noProof/>
            <w:webHidden/>
          </w:rPr>
          <w:instrText xml:space="preserve"> PAGEREF _Toc422916325 \h </w:instrText>
        </w:r>
        <w:r>
          <w:rPr>
            <w:noProof/>
            <w:webHidden/>
          </w:rPr>
        </w:r>
        <w:r>
          <w:rPr>
            <w:noProof/>
            <w:webHidden/>
          </w:rPr>
          <w:fldChar w:fldCharType="separate"/>
        </w:r>
        <w:r w:rsidR="00796F8C">
          <w:rPr>
            <w:noProof/>
            <w:webHidden/>
          </w:rPr>
          <w:t>8</w:t>
        </w:r>
        <w:r>
          <w:rPr>
            <w:noProof/>
            <w:webHidden/>
          </w:rPr>
          <w:fldChar w:fldCharType="end"/>
        </w:r>
      </w:hyperlink>
    </w:p>
    <w:p w:rsidR="00796F8C" w:rsidRDefault="00A008B9">
      <w:pPr>
        <w:pStyle w:val="Verzeichnis2"/>
        <w:rPr>
          <w:rFonts w:asciiTheme="minorHAnsi" w:eastAsiaTheme="minorEastAsia" w:hAnsiTheme="minorHAnsi" w:cstheme="minorBidi"/>
          <w:noProof/>
          <w:szCs w:val="22"/>
          <w:lang w:val="et-EE" w:eastAsia="et-EE"/>
        </w:rPr>
      </w:pPr>
      <w:hyperlink w:anchor="_Toc422916326" w:history="1">
        <w:r w:rsidR="00796F8C" w:rsidRPr="005018E9">
          <w:rPr>
            <w:rStyle w:val="Hyperlink"/>
            <w:noProof/>
            <w:lang w:val="en-GB"/>
          </w:rPr>
          <w:t>Insurance</w:t>
        </w:r>
        <w:r w:rsidR="00796F8C">
          <w:rPr>
            <w:noProof/>
            <w:webHidden/>
          </w:rPr>
          <w:tab/>
        </w:r>
        <w:r>
          <w:rPr>
            <w:noProof/>
            <w:webHidden/>
          </w:rPr>
          <w:fldChar w:fldCharType="begin"/>
        </w:r>
        <w:r w:rsidR="00796F8C">
          <w:rPr>
            <w:noProof/>
            <w:webHidden/>
          </w:rPr>
          <w:instrText xml:space="preserve"> PAGEREF _Toc422916326 \h </w:instrText>
        </w:r>
        <w:r>
          <w:rPr>
            <w:noProof/>
            <w:webHidden/>
          </w:rPr>
        </w:r>
        <w:r>
          <w:rPr>
            <w:noProof/>
            <w:webHidden/>
          </w:rPr>
          <w:fldChar w:fldCharType="separate"/>
        </w:r>
        <w:r w:rsidR="00796F8C">
          <w:rPr>
            <w:noProof/>
            <w:webHidden/>
          </w:rPr>
          <w:t>9</w:t>
        </w:r>
        <w:r>
          <w:rPr>
            <w:noProof/>
            <w:webHidden/>
          </w:rPr>
          <w:fldChar w:fldCharType="end"/>
        </w:r>
      </w:hyperlink>
    </w:p>
    <w:p w:rsidR="00796F8C" w:rsidRDefault="00A008B9">
      <w:pPr>
        <w:pStyle w:val="Verzeichnis2"/>
        <w:rPr>
          <w:rFonts w:asciiTheme="minorHAnsi" w:eastAsiaTheme="minorEastAsia" w:hAnsiTheme="minorHAnsi" w:cstheme="minorBidi"/>
          <w:noProof/>
          <w:szCs w:val="22"/>
          <w:lang w:val="et-EE" w:eastAsia="et-EE"/>
        </w:rPr>
      </w:pPr>
      <w:hyperlink w:anchor="_Toc422916327" w:history="1">
        <w:r w:rsidR="00796F8C" w:rsidRPr="005018E9">
          <w:rPr>
            <w:rStyle w:val="Hyperlink"/>
            <w:noProof/>
            <w:lang w:val="en-GB"/>
          </w:rPr>
          <w:t>Energy Yield</w:t>
        </w:r>
        <w:r w:rsidR="00796F8C">
          <w:rPr>
            <w:noProof/>
            <w:webHidden/>
          </w:rPr>
          <w:tab/>
        </w:r>
        <w:r>
          <w:rPr>
            <w:noProof/>
            <w:webHidden/>
          </w:rPr>
          <w:fldChar w:fldCharType="begin"/>
        </w:r>
        <w:r w:rsidR="00796F8C">
          <w:rPr>
            <w:noProof/>
            <w:webHidden/>
          </w:rPr>
          <w:instrText xml:space="preserve"> PAGEREF _Toc422916327 \h </w:instrText>
        </w:r>
        <w:r>
          <w:rPr>
            <w:noProof/>
            <w:webHidden/>
          </w:rPr>
        </w:r>
        <w:r>
          <w:rPr>
            <w:noProof/>
            <w:webHidden/>
          </w:rPr>
          <w:fldChar w:fldCharType="separate"/>
        </w:r>
        <w:r w:rsidR="00796F8C">
          <w:rPr>
            <w:noProof/>
            <w:webHidden/>
          </w:rPr>
          <w:t>9</w:t>
        </w:r>
        <w:r>
          <w:rPr>
            <w:noProof/>
            <w:webHidden/>
          </w:rPr>
          <w:fldChar w:fldCharType="end"/>
        </w:r>
      </w:hyperlink>
    </w:p>
    <w:p w:rsidR="00796F8C" w:rsidRDefault="00A008B9">
      <w:pPr>
        <w:pStyle w:val="Verzeichnis1"/>
        <w:rPr>
          <w:rFonts w:asciiTheme="minorHAnsi" w:eastAsiaTheme="minorEastAsia" w:hAnsiTheme="minorHAnsi" w:cstheme="minorBidi"/>
          <w:b w:val="0"/>
          <w:noProof/>
          <w:lang w:val="et-EE" w:eastAsia="et-EE"/>
        </w:rPr>
      </w:pPr>
      <w:hyperlink w:anchor="_Toc422916328" w:history="1">
        <w:r w:rsidR="00796F8C" w:rsidRPr="005018E9">
          <w:rPr>
            <w:rStyle w:val="Hyperlink"/>
            <w:noProof/>
            <w:lang w:val="en-GB"/>
          </w:rPr>
          <w:t>5.</w:t>
        </w:r>
        <w:r w:rsidR="00796F8C">
          <w:rPr>
            <w:rFonts w:asciiTheme="minorHAnsi" w:eastAsiaTheme="minorEastAsia" w:hAnsiTheme="minorHAnsi" w:cstheme="minorBidi"/>
            <w:b w:val="0"/>
            <w:noProof/>
            <w:lang w:val="et-EE" w:eastAsia="et-EE"/>
          </w:rPr>
          <w:tab/>
        </w:r>
        <w:r w:rsidR="00796F8C" w:rsidRPr="005018E9">
          <w:rPr>
            <w:rStyle w:val="Hyperlink"/>
            <w:noProof/>
            <w:lang w:val="en-GB"/>
          </w:rPr>
          <w:t>Discussion</w:t>
        </w:r>
        <w:r w:rsidR="00796F8C">
          <w:rPr>
            <w:noProof/>
            <w:webHidden/>
          </w:rPr>
          <w:tab/>
        </w:r>
        <w:r>
          <w:rPr>
            <w:noProof/>
            <w:webHidden/>
          </w:rPr>
          <w:fldChar w:fldCharType="begin"/>
        </w:r>
        <w:r w:rsidR="00796F8C">
          <w:rPr>
            <w:noProof/>
            <w:webHidden/>
          </w:rPr>
          <w:instrText xml:space="preserve"> PAGEREF _Toc422916328 \h </w:instrText>
        </w:r>
        <w:r>
          <w:rPr>
            <w:noProof/>
            <w:webHidden/>
          </w:rPr>
        </w:r>
        <w:r>
          <w:rPr>
            <w:noProof/>
            <w:webHidden/>
          </w:rPr>
          <w:fldChar w:fldCharType="separate"/>
        </w:r>
        <w:r w:rsidR="00796F8C">
          <w:rPr>
            <w:noProof/>
            <w:webHidden/>
          </w:rPr>
          <w:t>10</w:t>
        </w:r>
        <w:r>
          <w:rPr>
            <w:noProof/>
            <w:webHidden/>
          </w:rPr>
          <w:fldChar w:fldCharType="end"/>
        </w:r>
      </w:hyperlink>
    </w:p>
    <w:p w:rsidR="00796F8C" w:rsidRDefault="00A008B9">
      <w:pPr>
        <w:pStyle w:val="Verzeichnis1"/>
        <w:rPr>
          <w:rFonts w:asciiTheme="minorHAnsi" w:eastAsiaTheme="minorEastAsia" w:hAnsiTheme="minorHAnsi" w:cstheme="minorBidi"/>
          <w:b w:val="0"/>
          <w:noProof/>
          <w:lang w:val="et-EE" w:eastAsia="et-EE"/>
        </w:rPr>
      </w:pPr>
      <w:hyperlink w:anchor="_Toc422916329" w:history="1">
        <w:r w:rsidR="00796F8C" w:rsidRPr="005018E9">
          <w:rPr>
            <w:rStyle w:val="Hyperlink"/>
            <w:noProof/>
            <w:lang w:val="en-GB"/>
          </w:rPr>
          <w:t>6.</w:t>
        </w:r>
        <w:r w:rsidR="00796F8C">
          <w:rPr>
            <w:rFonts w:asciiTheme="minorHAnsi" w:eastAsiaTheme="minorEastAsia" w:hAnsiTheme="minorHAnsi" w:cstheme="minorBidi"/>
            <w:b w:val="0"/>
            <w:noProof/>
            <w:lang w:val="et-EE" w:eastAsia="et-EE"/>
          </w:rPr>
          <w:tab/>
        </w:r>
        <w:r w:rsidR="00796F8C" w:rsidRPr="005018E9">
          <w:rPr>
            <w:rStyle w:val="Hyperlink"/>
            <w:noProof/>
            <w:lang w:val="en-GB"/>
          </w:rPr>
          <w:t>Conclusion</w:t>
        </w:r>
        <w:r w:rsidR="00796F8C">
          <w:rPr>
            <w:noProof/>
            <w:webHidden/>
          </w:rPr>
          <w:tab/>
        </w:r>
        <w:r>
          <w:rPr>
            <w:noProof/>
            <w:webHidden/>
          </w:rPr>
          <w:fldChar w:fldCharType="begin"/>
        </w:r>
        <w:r w:rsidR="00796F8C">
          <w:rPr>
            <w:noProof/>
            <w:webHidden/>
          </w:rPr>
          <w:instrText xml:space="preserve"> PAGEREF _Toc422916329 \h </w:instrText>
        </w:r>
        <w:r>
          <w:rPr>
            <w:noProof/>
            <w:webHidden/>
          </w:rPr>
        </w:r>
        <w:r>
          <w:rPr>
            <w:noProof/>
            <w:webHidden/>
          </w:rPr>
          <w:fldChar w:fldCharType="separate"/>
        </w:r>
        <w:r w:rsidR="00796F8C">
          <w:rPr>
            <w:noProof/>
            <w:webHidden/>
          </w:rPr>
          <w:t>12</w:t>
        </w:r>
        <w:r>
          <w:rPr>
            <w:noProof/>
            <w:webHidden/>
          </w:rPr>
          <w:fldChar w:fldCharType="end"/>
        </w:r>
      </w:hyperlink>
    </w:p>
    <w:p w:rsidR="00796F8C" w:rsidRDefault="00A008B9">
      <w:pPr>
        <w:pStyle w:val="Verzeichnis2"/>
        <w:rPr>
          <w:rFonts w:asciiTheme="minorHAnsi" w:eastAsiaTheme="minorEastAsia" w:hAnsiTheme="minorHAnsi" w:cstheme="minorBidi"/>
          <w:noProof/>
          <w:szCs w:val="22"/>
          <w:lang w:val="et-EE" w:eastAsia="et-EE"/>
        </w:rPr>
      </w:pPr>
      <w:hyperlink w:anchor="_Toc422916330" w:history="1">
        <w:r w:rsidR="00796F8C" w:rsidRPr="005018E9">
          <w:rPr>
            <w:rStyle w:val="Hyperlink"/>
            <w:noProof/>
            <w:lang w:val="en-GB"/>
          </w:rPr>
          <w:t>References</w:t>
        </w:r>
        <w:r w:rsidR="00796F8C">
          <w:rPr>
            <w:noProof/>
            <w:webHidden/>
          </w:rPr>
          <w:tab/>
        </w:r>
        <w:r>
          <w:rPr>
            <w:noProof/>
            <w:webHidden/>
          </w:rPr>
          <w:fldChar w:fldCharType="begin"/>
        </w:r>
        <w:r w:rsidR="00796F8C">
          <w:rPr>
            <w:noProof/>
            <w:webHidden/>
          </w:rPr>
          <w:instrText xml:space="preserve"> PAGEREF _Toc422916330 \h </w:instrText>
        </w:r>
        <w:r>
          <w:rPr>
            <w:noProof/>
            <w:webHidden/>
          </w:rPr>
        </w:r>
        <w:r>
          <w:rPr>
            <w:noProof/>
            <w:webHidden/>
          </w:rPr>
          <w:fldChar w:fldCharType="separate"/>
        </w:r>
        <w:r w:rsidR="00796F8C">
          <w:rPr>
            <w:noProof/>
            <w:webHidden/>
          </w:rPr>
          <w:t>13</w:t>
        </w:r>
        <w:r>
          <w:rPr>
            <w:noProof/>
            <w:webHidden/>
          </w:rPr>
          <w:fldChar w:fldCharType="end"/>
        </w:r>
      </w:hyperlink>
    </w:p>
    <w:p w:rsidR="00154B27" w:rsidRPr="001E3FA2" w:rsidRDefault="00A008B9">
      <w:pPr>
        <w:rPr>
          <w:lang w:val="en-GB"/>
        </w:rPr>
      </w:pPr>
      <w:r w:rsidRPr="001E3FA2">
        <w:rPr>
          <w:lang w:val="en-GB"/>
        </w:rPr>
        <w:fldChar w:fldCharType="end"/>
      </w:r>
    </w:p>
    <w:p w:rsidR="003637B0" w:rsidRPr="001E3FA2" w:rsidRDefault="003637B0" w:rsidP="003637B0">
      <w:pPr>
        <w:rPr>
          <w:szCs w:val="22"/>
          <w:lang w:val="en-GB"/>
        </w:rPr>
      </w:pPr>
    </w:p>
    <w:p w:rsidR="003637B0" w:rsidRPr="001E3FA2" w:rsidRDefault="003637B0" w:rsidP="003637B0">
      <w:pPr>
        <w:ind w:left="2835"/>
        <w:rPr>
          <w:szCs w:val="22"/>
          <w:lang w:val="en-GB"/>
        </w:rPr>
        <w:sectPr w:rsidR="003637B0" w:rsidRPr="001E3FA2" w:rsidSect="002450EB">
          <w:headerReference w:type="default" r:id="rId18"/>
          <w:footerReference w:type="default" r:id="rId19"/>
          <w:pgSz w:w="11906" w:h="16838"/>
          <w:pgMar w:top="1418" w:right="992" w:bottom="1418" w:left="2126" w:header="709" w:footer="709" w:gutter="0"/>
          <w:cols w:space="708"/>
          <w:docGrid w:linePitch="360"/>
        </w:sectPr>
      </w:pPr>
    </w:p>
    <w:p w:rsidR="00F4287E" w:rsidRPr="001E3FA2" w:rsidRDefault="002907AD" w:rsidP="003565E3">
      <w:pPr>
        <w:pStyle w:val="berschrift1"/>
        <w:ind w:left="630"/>
        <w:rPr>
          <w:lang w:val="en-GB"/>
        </w:rPr>
      </w:pPr>
      <w:bookmarkStart w:id="1" w:name="_Toc227571145"/>
      <w:bookmarkStart w:id="2" w:name="_Toc422916316"/>
      <w:r w:rsidRPr="001E3FA2">
        <w:rPr>
          <w:lang w:val="en-GB"/>
        </w:rPr>
        <w:lastRenderedPageBreak/>
        <w:t>A</w:t>
      </w:r>
      <w:r w:rsidR="00D17FBB" w:rsidRPr="001E3FA2">
        <w:rPr>
          <w:lang w:val="en-GB"/>
        </w:rPr>
        <w:t>bstract</w:t>
      </w:r>
      <w:bookmarkEnd w:id="1"/>
      <w:bookmarkEnd w:id="2"/>
    </w:p>
    <w:p w:rsidR="00BE70CC" w:rsidRDefault="007A2DF9" w:rsidP="00BE70CC">
      <w:pPr>
        <w:ind w:left="567" w:right="567"/>
        <w:mirrorIndents/>
        <w:rPr>
          <w:lang w:val="en-GB"/>
        </w:rPr>
      </w:pPr>
      <w:r>
        <w:rPr>
          <w:lang w:val="en-GB"/>
        </w:rPr>
        <w:t xml:space="preserve">The cost of generating electricity can be derived for a photovoltaic system and can be regarded as a key parameter for </w:t>
      </w:r>
      <w:r w:rsidR="00EC5D0C">
        <w:rPr>
          <w:lang w:val="en-GB"/>
        </w:rPr>
        <w:t>evaluating</w:t>
      </w:r>
      <w:r>
        <w:rPr>
          <w:lang w:val="en-GB"/>
        </w:rPr>
        <w:t xml:space="preserve"> the economic viability of a PV installation for a small household</w:t>
      </w:r>
      <w:r w:rsidR="00EC5D0C">
        <w:rPr>
          <w:lang w:val="en-GB"/>
        </w:rPr>
        <w:t xml:space="preserve">. The costs are divided into investment costs and operation costs. To determine the investment cost factors like grid connection, installation costs and the cost of capital must be investigated. For the operation costs besides maintenance, insurance must also be included. Legislation has also a profound effect on these costs. For PV installations in Austria and the Czech Republic they </w:t>
      </w:r>
      <w:r w:rsidR="00322B4C">
        <w:rPr>
          <w:lang w:val="en-GB"/>
        </w:rPr>
        <w:t>are not uniform. Moreover it</w:t>
      </w:r>
      <w:r w:rsidR="00EC5D0C">
        <w:rPr>
          <w:lang w:val="en-GB"/>
        </w:rPr>
        <w:t xml:space="preserve"> can vary for different households in one country. Therefore an </w:t>
      </w:r>
      <w:r w:rsidR="00322B4C">
        <w:rPr>
          <w:lang w:val="en-GB"/>
        </w:rPr>
        <w:t>in detail evaluation of these factors for a particular installation site is indispensable. When the cost of electricity generation is lower as the price of energy purchased from the gird, grid parity is achieved. For the model example in Austria and Czech this is the cas</w:t>
      </w:r>
      <w:r w:rsidR="00097AB8">
        <w:rPr>
          <w:lang w:val="en-GB"/>
        </w:rPr>
        <w:t>e. The economic viability is the</w:t>
      </w:r>
      <w:r w:rsidR="00322B4C">
        <w:rPr>
          <w:lang w:val="en-GB"/>
        </w:rPr>
        <w:t xml:space="preserve">n dependent on how much energy is used for consumption and what the income for selling energy is. </w:t>
      </w:r>
      <w:r w:rsidR="00BE70CC">
        <w:rPr>
          <w:lang w:val="en-GB"/>
        </w:rPr>
        <w:t xml:space="preserve">If the price for selling energy on the market is too low, feed-in tariffs can support the viability for the household. </w:t>
      </w:r>
      <w:r w:rsidR="006E76C5">
        <w:rPr>
          <w:lang w:val="en-GB"/>
        </w:rPr>
        <w:t xml:space="preserve">Alternatively </w:t>
      </w:r>
      <w:r w:rsidR="00BE70CC">
        <w:rPr>
          <w:lang w:val="en-GB"/>
        </w:rPr>
        <w:t>power accumulation can be used to increase self-consumption but should b</w:t>
      </w:r>
      <w:r w:rsidR="00EE7AC2">
        <w:rPr>
          <w:lang w:val="en-GB"/>
        </w:rPr>
        <w:t xml:space="preserve">e considered in the costs of </w:t>
      </w:r>
      <w:r w:rsidR="00BE70CC">
        <w:rPr>
          <w:lang w:val="en-GB"/>
        </w:rPr>
        <w:t>generating</w:t>
      </w:r>
      <w:r w:rsidR="00EE7AC2">
        <w:rPr>
          <w:lang w:val="en-GB"/>
        </w:rPr>
        <w:t xml:space="preserve"> the</w:t>
      </w:r>
      <w:r w:rsidR="00BE70CC">
        <w:rPr>
          <w:lang w:val="en-GB"/>
        </w:rPr>
        <w:t xml:space="preserve"> electricity.</w:t>
      </w:r>
    </w:p>
    <w:p w:rsidR="00BE70CC" w:rsidRDefault="00BE70CC" w:rsidP="00BE70CC">
      <w:pPr>
        <w:ind w:left="567" w:right="567"/>
        <w:mirrorIndents/>
        <w:rPr>
          <w:lang w:val="en-GB"/>
        </w:rPr>
      </w:pPr>
    </w:p>
    <w:p w:rsidR="00BE70CC" w:rsidRPr="001E3FA2" w:rsidRDefault="00BE70CC" w:rsidP="001B7E8C">
      <w:pPr>
        <w:ind w:right="567"/>
        <w:mirrorIndents/>
        <w:rPr>
          <w:lang w:val="en-GB"/>
        </w:rPr>
      </w:pPr>
    </w:p>
    <w:p w:rsidR="00021C16" w:rsidRDefault="001F46B6" w:rsidP="007A29A6">
      <w:pPr>
        <w:pStyle w:val="berschrift1"/>
        <w:rPr>
          <w:lang w:val="en-GB"/>
        </w:rPr>
      </w:pPr>
      <w:bookmarkStart w:id="3" w:name="_Toc422916317"/>
      <w:r>
        <w:rPr>
          <w:lang w:val="en-GB"/>
        </w:rPr>
        <w:t>1</w:t>
      </w:r>
      <w:r w:rsidR="007A29A6" w:rsidRPr="001E3FA2">
        <w:rPr>
          <w:lang w:val="en-GB"/>
        </w:rPr>
        <w:t>.</w:t>
      </w:r>
      <w:r w:rsidR="007A29A6" w:rsidRPr="001E3FA2">
        <w:rPr>
          <w:lang w:val="en-GB"/>
        </w:rPr>
        <w:tab/>
      </w:r>
      <w:r w:rsidR="002907AD" w:rsidRPr="001E3FA2">
        <w:rPr>
          <w:lang w:val="en-GB"/>
        </w:rPr>
        <w:t>M</w:t>
      </w:r>
      <w:r w:rsidR="007A29A6" w:rsidRPr="001E3FA2">
        <w:rPr>
          <w:lang w:val="en-GB"/>
        </w:rPr>
        <w:t>otivation</w:t>
      </w:r>
      <w:bookmarkEnd w:id="3"/>
    </w:p>
    <w:p w:rsidR="00DE009D" w:rsidRDefault="00DE009D" w:rsidP="00DE009D">
      <w:pPr>
        <w:rPr>
          <w:lang w:val="en-GB"/>
        </w:rPr>
      </w:pPr>
      <w:r>
        <w:rPr>
          <w:lang w:val="en-GB"/>
        </w:rPr>
        <w:t xml:space="preserve">While we can see more and more government targets to increase the share of renewable energy in lots of countries in the world, it is recognized that acceptance in society is the crucial factor in the whole process. We would like to focus on market acceptance because we share the opinion that the best way to motivate society is to make renewable economically viable. We can say about every situation in society that they are somehow connected and it is crucial that we follow more goals by increasing the share of renewable energy sources. For example the goal of reducing greenhouse gas emissions is connected with the effort of reducing environment pollution and developing renewable resources. We have the biggest chance to succeed if these efforts contribute to other societal and economic objectives. Government planning should be designed to create synergies between various topics of social situations.  </w:t>
      </w:r>
    </w:p>
    <w:p w:rsidR="00DE009D" w:rsidRDefault="00DE009D" w:rsidP="00DE009D">
      <w:pPr>
        <w:rPr>
          <w:lang w:val="en-GB"/>
        </w:rPr>
      </w:pPr>
      <w:r>
        <w:rPr>
          <w:lang w:val="en-GB"/>
        </w:rPr>
        <w:t xml:space="preserve">Another alarming fact is that energy consumption is rising rapidly. Consumption rises as societies industrialize. Between 1840 and 2010 energy use grew more than 100 times on per capita basis. As societies industrialized they began to use new forms of energy sources such as electricity, oil, coal, natural gas and propane. Non renewable fossil fuel is now supplying around 80 percent of the world energy demand. We can expect that energy consumption will triple by 2050. Current trends show us that there is a huge possibility that fossil fuels will still remain dominant. All the people in the world will have to join the effort </w:t>
      </w:r>
      <w:r>
        <w:rPr>
          <w:lang w:val="en-GB"/>
        </w:rPr>
        <w:lastRenderedPageBreak/>
        <w:t>to avoid this scenario. Dealing with this multigenerational problem is a huge challenge for the world.</w:t>
      </w:r>
    </w:p>
    <w:p w:rsidR="00DE009D" w:rsidRPr="00DE009D" w:rsidRDefault="00DE009D" w:rsidP="00DE009D">
      <w:pPr>
        <w:rPr>
          <w:lang w:val="en-GB"/>
        </w:rPr>
      </w:pPr>
      <w:r>
        <w:rPr>
          <w:lang w:val="en-GB"/>
        </w:rPr>
        <w:t xml:space="preserve">Climate change is one the greatest threats that the world is facing. The impacts of climate change leads to events such as sea level rise. Kyoto protocol has an impact on reduction of greenhouse gas emission. Some experts say that we need to reduce carbon emission by more than 60%. The question is how? Renewable energy provides one among many answers to this question. We are talking about carbon free economy achieved by usage of renewable. It is slowly happening across Europe and it is mostly a success. We can see its potential to be a solution to climate change problems. </w:t>
      </w:r>
    </w:p>
    <w:p w:rsidR="0079742E" w:rsidRDefault="001F46B6" w:rsidP="007A29A6">
      <w:pPr>
        <w:pStyle w:val="berschrift1"/>
        <w:rPr>
          <w:lang w:val="en-GB"/>
        </w:rPr>
      </w:pPr>
      <w:bookmarkStart w:id="4" w:name="_Toc422916318"/>
      <w:r>
        <w:rPr>
          <w:lang w:val="en-GB"/>
        </w:rPr>
        <w:t>2</w:t>
      </w:r>
      <w:r w:rsidR="002907AD" w:rsidRPr="001E3FA2">
        <w:rPr>
          <w:lang w:val="en-GB"/>
        </w:rPr>
        <w:t>.</w:t>
      </w:r>
      <w:r w:rsidR="002907AD" w:rsidRPr="001E3FA2">
        <w:rPr>
          <w:lang w:val="en-GB"/>
        </w:rPr>
        <w:tab/>
      </w:r>
      <w:r w:rsidR="00AA62E2">
        <w:rPr>
          <w:lang w:val="en-GB"/>
        </w:rPr>
        <w:t xml:space="preserve">PV </w:t>
      </w:r>
      <w:r w:rsidR="002907AD" w:rsidRPr="001E3FA2">
        <w:rPr>
          <w:lang w:val="en-GB"/>
        </w:rPr>
        <w:t>T</w:t>
      </w:r>
      <w:r w:rsidR="007A29A6" w:rsidRPr="001E3FA2">
        <w:rPr>
          <w:lang w:val="en-GB"/>
        </w:rPr>
        <w:t>echnology</w:t>
      </w:r>
      <w:r w:rsidR="00AA62E2">
        <w:rPr>
          <w:lang w:val="en-GB"/>
        </w:rPr>
        <w:t xml:space="preserve"> Overview</w:t>
      </w:r>
      <w:bookmarkEnd w:id="4"/>
    </w:p>
    <w:p w:rsidR="009D5F53" w:rsidRDefault="009D5F53" w:rsidP="003565E3">
      <w:r w:rsidRPr="00C7572D">
        <w:t>A photovoltaic system, also solar PV power system is a power system designed to supply usable solar power by means of photovoltaics. It consists of an arrangement of several components, including solar panels to absorb and convert sunlight into electricity, a solar inverter to change the electric current from DC to AC, as well as mounting, cabling and other electrical accessories to set up a working system. A rooftop PV system has its solar panels mounted on the rooftop of a building. Positioning PV plant on rooftop is a great idea since we have lots of free space on the</w:t>
      </w:r>
      <w:r>
        <w:t xml:space="preserve"> roofs in our urban environment. We will focus on roof-top systems for small households in this paper.</w:t>
      </w:r>
    </w:p>
    <w:p w:rsidR="009D5F53" w:rsidRPr="009D5F53" w:rsidRDefault="009D5F53" w:rsidP="003565E3">
      <w:r w:rsidRPr="00C7572D">
        <w:t xml:space="preserve">There are various aspects that affect effectivity of installed PV. These aspects are for example: time of the year, weather conditions, roof slope, shading from other objects. It is desirable to avoid these aspects to achieve maximal output. </w:t>
      </w:r>
      <w:r w:rsidRPr="00C7572D">
        <w:rPr>
          <w:color w:val="111111"/>
          <w:shd w:val="clear" w:color="auto" w:fill="FFFFFF"/>
        </w:rPr>
        <w:t>PV energy is an established and rapidly expanding energy sector. PV technology is among the renewable energy technologies that experts are predicting that the</w:t>
      </w:r>
      <w:r>
        <w:rPr>
          <w:color w:val="111111"/>
          <w:shd w:val="clear" w:color="auto" w:fill="FFFFFF"/>
        </w:rPr>
        <w:t>y will help the European Union</w:t>
      </w:r>
      <w:r w:rsidRPr="00C7572D">
        <w:rPr>
          <w:color w:val="111111"/>
          <w:shd w:val="clear" w:color="auto" w:fill="FFFFFF"/>
        </w:rPr>
        <w:t xml:space="preserve"> achieve its 2020 goals of obtaining 20% of the energy from renewable sources. Recent advancements in the technology have led to substantial increase in their efficiency and reliability as well as decrease in price</w:t>
      </w:r>
      <w:r>
        <w:rPr>
          <w:color w:val="111111"/>
          <w:shd w:val="clear" w:color="auto" w:fill="FFFFFF"/>
        </w:rPr>
        <w:t>.</w:t>
      </w:r>
    </w:p>
    <w:p w:rsidR="007A29A6" w:rsidRPr="001E3FA2" w:rsidRDefault="001F46B6" w:rsidP="007A29A6">
      <w:pPr>
        <w:pStyle w:val="berschrift1"/>
        <w:rPr>
          <w:lang w:val="en-GB"/>
        </w:rPr>
      </w:pPr>
      <w:bookmarkStart w:id="5" w:name="_Toc422916319"/>
      <w:r>
        <w:rPr>
          <w:lang w:val="en-GB"/>
        </w:rPr>
        <w:t>3</w:t>
      </w:r>
      <w:r w:rsidR="002907AD" w:rsidRPr="001E3FA2">
        <w:rPr>
          <w:lang w:val="en-GB"/>
        </w:rPr>
        <w:t>.</w:t>
      </w:r>
      <w:r w:rsidR="002907AD" w:rsidRPr="001E3FA2">
        <w:rPr>
          <w:lang w:val="en-GB"/>
        </w:rPr>
        <w:tab/>
        <w:t>P</w:t>
      </w:r>
      <w:r w:rsidR="007A29A6" w:rsidRPr="001E3FA2">
        <w:rPr>
          <w:lang w:val="en-GB"/>
        </w:rPr>
        <w:t xml:space="preserve">roblem </w:t>
      </w:r>
      <w:r w:rsidR="00ED391A">
        <w:rPr>
          <w:lang w:val="en-GB"/>
        </w:rPr>
        <w:t>S</w:t>
      </w:r>
      <w:r w:rsidR="001E3FA2" w:rsidRPr="001E3FA2">
        <w:rPr>
          <w:lang w:val="en-GB"/>
        </w:rPr>
        <w:t>tatement</w:t>
      </w:r>
      <w:bookmarkEnd w:id="5"/>
    </w:p>
    <w:p w:rsidR="004D7B9F" w:rsidRPr="001E3FA2" w:rsidRDefault="00AF27BC" w:rsidP="00AF27BC">
      <w:pPr>
        <w:rPr>
          <w:lang w:val="en-GB"/>
        </w:rPr>
      </w:pPr>
      <w:r w:rsidRPr="001E3FA2">
        <w:rPr>
          <w:lang w:val="en-GB"/>
        </w:rPr>
        <w:t>When talking about su</w:t>
      </w:r>
      <w:r w:rsidR="001E3FA2" w:rsidRPr="001E3FA2">
        <w:rPr>
          <w:lang w:val="en-GB"/>
        </w:rPr>
        <w:t>pporting renewable energy it</w:t>
      </w:r>
      <w:r w:rsidRPr="001E3FA2">
        <w:rPr>
          <w:lang w:val="en-GB"/>
        </w:rPr>
        <w:t xml:space="preserve"> is often said, that when levelized cost of generating </w:t>
      </w:r>
      <w:r w:rsidR="001E3FA2" w:rsidRPr="001E3FA2">
        <w:rPr>
          <w:lang w:val="en-GB"/>
        </w:rPr>
        <w:t>photovoltaic</w:t>
      </w:r>
      <w:r w:rsidRPr="001E3FA2">
        <w:rPr>
          <w:lang w:val="en-GB"/>
        </w:rPr>
        <w:t xml:space="preserve"> energy is lower than</w:t>
      </w:r>
      <w:r w:rsidR="001E3FA2" w:rsidRPr="001E3FA2">
        <w:rPr>
          <w:lang w:val="en-GB"/>
        </w:rPr>
        <w:t xml:space="preserve"> purchasing</w:t>
      </w:r>
      <w:r w:rsidRPr="001E3FA2">
        <w:rPr>
          <w:lang w:val="en-GB"/>
        </w:rPr>
        <w:t xml:space="preserve"> energy form the gird, PV systems for small household are economically </w:t>
      </w:r>
      <w:r w:rsidR="001E3FA2" w:rsidRPr="001E3FA2">
        <w:rPr>
          <w:lang w:val="en-GB"/>
        </w:rPr>
        <w:t>viable</w:t>
      </w:r>
      <w:r w:rsidRPr="001E3FA2">
        <w:rPr>
          <w:lang w:val="en-GB"/>
        </w:rPr>
        <w:t xml:space="preserve">. </w:t>
      </w:r>
    </w:p>
    <w:p w:rsidR="003A3E07" w:rsidRPr="001E3FA2" w:rsidRDefault="003A3E07" w:rsidP="00AF27BC">
      <w:pPr>
        <w:rPr>
          <w:lang w:val="en-GB"/>
        </w:rPr>
      </w:pPr>
      <w:r w:rsidRPr="001E3FA2">
        <w:rPr>
          <w:lang w:val="en-GB"/>
        </w:rPr>
        <w:t xml:space="preserve">A </w:t>
      </w:r>
      <w:r w:rsidR="001E3FA2" w:rsidRPr="001E3FA2">
        <w:rPr>
          <w:lang w:val="en-GB"/>
        </w:rPr>
        <w:t>household</w:t>
      </w:r>
      <w:r w:rsidRPr="001E3FA2">
        <w:rPr>
          <w:lang w:val="en-GB"/>
        </w:rPr>
        <w:t xml:space="preserve"> faces diffe</w:t>
      </w:r>
      <w:r w:rsidR="001E3FA2">
        <w:rPr>
          <w:lang w:val="en-GB"/>
        </w:rPr>
        <w:t>re</w:t>
      </w:r>
      <w:r w:rsidRPr="001E3FA2">
        <w:rPr>
          <w:lang w:val="en-GB"/>
        </w:rPr>
        <w:t>nt aspects when</w:t>
      </w:r>
      <w:r w:rsidR="001E3FA2">
        <w:rPr>
          <w:lang w:val="en-GB"/>
        </w:rPr>
        <w:t xml:space="preserve"> calculating</w:t>
      </w:r>
      <w:r w:rsidRPr="001E3FA2">
        <w:rPr>
          <w:lang w:val="en-GB"/>
        </w:rPr>
        <w:t xml:space="preserve"> the costs, </w:t>
      </w:r>
      <w:r w:rsidR="000C6169" w:rsidRPr="001E3FA2">
        <w:rPr>
          <w:lang w:val="en-GB"/>
        </w:rPr>
        <w:t>which</w:t>
      </w:r>
      <w:r w:rsidR="001E3FA2">
        <w:rPr>
          <w:lang w:val="en-GB"/>
        </w:rPr>
        <w:t xml:space="preserve"> can be sepa</w:t>
      </w:r>
      <w:r w:rsidRPr="001E3FA2">
        <w:rPr>
          <w:lang w:val="en-GB"/>
        </w:rPr>
        <w:t>rated in investment and operational costs. The investment cost</w:t>
      </w:r>
      <w:r w:rsidR="001E3FA2">
        <w:rPr>
          <w:lang w:val="en-GB"/>
        </w:rPr>
        <w:t>s</w:t>
      </w:r>
      <w:r w:rsidRPr="001E3FA2">
        <w:rPr>
          <w:lang w:val="en-GB"/>
        </w:rPr>
        <w:t xml:space="preserve"> include not </w:t>
      </w:r>
      <w:r w:rsidR="001E3FA2">
        <w:rPr>
          <w:lang w:val="en-GB"/>
        </w:rPr>
        <w:t xml:space="preserve">only </w:t>
      </w:r>
      <w:r w:rsidRPr="001E3FA2">
        <w:rPr>
          <w:lang w:val="en-GB"/>
        </w:rPr>
        <w:t>the PV modules</w:t>
      </w:r>
      <w:r w:rsidR="001E3FA2">
        <w:rPr>
          <w:lang w:val="en-GB"/>
        </w:rPr>
        <w:t>,</w:t>
      </w:r>
      <w:r w:rsidRPr="001E3FA2">
        <w:rPr>
          <w:lang w:val="en-GB"/>
        </w:rPr>
        <w:t xml:space="preserve"> but also the other part</w:t>
      </w:r>
      <w:r w:rsidR="005B6E69" w:rsidRPr="001E3FA2">
        <w:rPr>
          <w:lang w:val="en-GB"/>
        </w:rPr>
        <w:t>s</w:t>
      </w:r>
      <w:r w:rsidRPr="001E3FA2">
        <w:rPr>
          <w:lang w:val="en-GB"/>
        </w:rPr>
        <w:t xml:space="preserve"> of a full</w:t>
      </w:r>
      <w:r w:rsidR="005B6E69" w:rsidRPr="001E3FA2">
        <w:rPr>
          <w:lang w:val="en-GB"/>
        </w:rPr>
        <w:t xml:space="preserve"> functioning system often called</w:t>
      </w:r>
      <w:r w:rsidRPr="001E3FA2">
        <w:rPr>
          <w:lang w:val="en-GB"/>
        </w:rPr>
        <w:t xml:space="preserve"> the bala</w:t>
      </w:r>
      <w:r w:rsidR="001E3FA2">
        <w:rPr>
          <w:lang w:val="en-GB"/>
        </w:rPr>
        <w:t>n</w:t>
      </w:r>
      <w:r w:rsidRPr="001E3FA2">
        <w:rPr>
          <w:lang w:val="en-GB"/>
        </w:rPr>
        <w:t>ce of system (BOS)</w:t>
      </w:r>
      <w:r w:rsidR="00032746">
        <w:rPr>
          <w:lang w:val="en-GB"/>
        </w:rPr>
        <w:t xml:space="preserve"> and the installation it</w:t>
      </w:r>
      <w:r w:rsidRPr="001E3FA2">
        <w:rPr>
          <w:lang w:val="en-GB"/>
        </w:rPr>
        <w:t>. Also the cost of capital must be taken into considerations. The operation costs of the PV modules are minor, but still some maint</w:t>
      </w:r>
      <w:r w:rsidR="001E3FA2">
        <w:rPr>
          <w:lang w:val="en-GB"/>
        </w:rPr>
        <w:t>en</w:t>
      </w:r>
      <w:r w:rsidRPr="001E3FA2">
        <w:rPr>
          <w:lang w:val="en-GB"/>
        </w:rPr>
        <w:t>ance and clea</w:t>
      </w:r>
      <w:r w:rsidR="001E3FA2">
        <w:rPr>
          <w:lang w:val="en-GB"/>
        </w:rPr>
        <w:t>n</w:t>
      </w:r>
      <w:r w:rsidRPr="001E3FA2">
        <w:rPr>
          <w:lang w:val="en-GB"/>
        </w:rPr>
        <w:t>ing must be taken into conside</w:t>
      </w:r>
      <w:r w:rsidR="005B6E69" w:rsidRPr="001E3FA2">
        <w:rPr>
          <w:lang w:val="en-GB"/>
        </w:rPr>
        <w:t>r</w:t>
      </w:r>
      <w:r w:rsidRPr="001E3FA2">
        <w:rPr>
          <w:lang w:val="en-GB"/>
        </w:rPr>
        <w:t>ation and other costs, like insurance.</w:t>
      </w:r>
    </w:p>
    <w:p w:rsidR="000C6169" w:rsidRPr="001E3FA2" w:rsidRDefault="00DD08E8" w:rsidP="00AF27BC">
      <w:pPr>
        <w:rPr>
          <w:lang w:val="en-GB"/>
        </w:rPr>
      </w:pPr>
      <w:r>
        <w:rPr>
          <w:lang w:val="en-GB"/>
        </w:rPr>
        <w:t xml:space="preserve">When </w:t>
      </w:r>
      <w:r w:rsidR="00E206D5" w:rsidRPr="001E3FA2">
        <w:rPr>
          <w:lang w:val="en-GB"/>
        </w:rPr>
        <w:t>s</w:t>
      </w:r>
      <w:r w:rsidR="003A3E07" w:rsidRPr="001E3FA2">
        <w:rPr>
          <w:lang w:val="en-GB"/>
        </w:rPr>
        <w:t>umming up all tho</w:t>
      </w:r>
      <w:r w:rsidR="00E206D5" w:rsidRPr="001E3FA2">
        <w:rPr>
          <w:lang w:val="en-GB"/>
        </w:rPr>
        <w:t>se costs and arr</w:t>
      </w:r>
      <w:r w:rsidR="001E3FA2">
        <w:rPr>
          <w:lang w:val="en-GB"/>
        </w:rPr>
        <w:t>iv</w:t>
      </w:r>
      <w:r w:rsidR="00E206D5" w:rsidRPr="001E3FA2">
        <w:rPr>
          <w:lang w:val="en-GB"/>
        </w:rPr>
        <w:t xml:space="preserve">ing to a value which is cheaper than the price of </w:t>
      </w:r>
      <w:r w:rsidR="001E3FA2">
        <w:rPr>
          <w:lang w:val="en-GB"/>
        </w:rPr>
        <w:t>en</w:t>
      </w:r>
      <w:r w:rsidR="001E3FA2" w:rsidRPr="001E3FA2">
        <w:rPr>
          <w:lang w:val="en-GB"/>
        </w:rPr>
        <w:t>ergy</w:t>
      </w:r>
      <w:r w:rsidR="00E206D5" w:rsidRPr="001E3FA2">
        <w:rPr>
          <w:lang w:val="en-GB"/>
        </w:rPr>
        <w:t xml:space="preserve"> form the gird, the retail price, this still does not guarantee economic </w:t>
      </w:r>
      <w:r w:rsidR="001E3FA2" w:rsidRPr="001E3FA2">
        <w:rPr>
          <w:lang w:val="en-GB"/>
        </w:rPr>
        <w:t>viability</w:t>
      </w:r>
      <w:r w:rsidR="00E206D5" w:rsidRPr="001E3FA2">
        <w:rPr>
          <w:lang w:val="en-GB"/>
        </w:rPr>
        <w:t xml:space="preserve"> of the photovoltaic plant. Since the supply of PV energy goes in hand with solar radiation, </w:t>
      </w:r>
      <w:r w:rsidR="00E206D5" w:rsidRPr="001E3FA2">
        <w:rPr>
          <w:lang w:val="en-GB"/>
        </w:rPr>
        <w:lastRenderedPageBreak/>
        <w:t xml:space="preserve">the supply and load may not coincide. Therefore, when demand is higher than the current supply of PV power, </w:t>
      </w:r>
      <w:r w:rsidR="001E3FA2" w:rsidRPr="001E3FA2">
        <w:rPr>
          <w:lang w:val="en-GB"/>
        </w:rPr>
        <w:t>additional</w:t>
      </w:r>
      <w:r w:rsidR="00E206D5" w:rsidRPr="001E3FA2">
        <w:rPr>
          <w:lang w:val="en-GB"/>
        </w:rPr>
        <w:t xml:space="preserve"> power m</w:t>
      </w:r>
      <w:r w:rsidR="000C6169" w:rsidRPr="001E3FA2">
        <w:rPr>
          <w:lang w:val="en-GB"/>
        </w:rPr>
        <w:t xml:space="preserve">ust be purchased from the grid. Furthermore, when PV supply is higher than the current load it cannot be used for consumption, but will be sold. This all leads to reduced profits and can undermine the </w:t>
      </w:r>
      <w:r w:rsidR="001E3FA2" w:rsidRPr="001E3FA2">
        <w:rPr>
          <w:lang w:val="en-GB"/>
        </w:rPr>
        <w:t>viability</w:t>
      </w:r>
      <w:r w:rsidR="000C6169" w:rsidRPr="001E3FA2">
        <w:rPr>
          <w:lang w:val="en-GB"/>
        </w:rPr>
        <w:t xml:space="preserve"> of the PV installation.</w:t>
      </w:r>
    </w:p>
    <w:p w:rsidR="00DD08E8" w:rsidRPr="001E3FA2" w:rsidRDefault="000C6169" w:rsidP="00AF27BC">
      <w:pPr>
        <w:rPr>
          <w:lang w:val="en-GB"/>
        </w:rPr>
      </w:pPr>
      <w:r w:rsidRPr="001E3FA2">
        <w:rPr>
          <w:lang w:val="en-GB"/>
        </w:rPr>
        <w:t>An exception would be net-metering, because than every unit energy produced would mean reduction in purchased energy. When net-metering is not available, power accumulation systems, like batteries can increase the share of self consumption, but at the same tim</w:t>
      </w:r>
      <w:r w:rsidR="000607B8" w:rsidRPr="001E3FA2">
        <w:rPr>
          <w:lang w:val="en-GB"/>
        </w:rPr>
        <w:t xml:space="preserve">e it adds </w:t>
      </w:r>
      <w:r w:rsidR="001E3FA2" w:rsidRPr="001E3FA2">
        <w:rPr>
          <w:lang w:val="en-GB"/>
        </w:rPr>
        <w:t>additional</w:t>
      </w:r>
      <w:r w:rsidR="000607B8" w:rsidRPr="001E3FA2">
        <w:rPr>
          <w:lang w:val="en-GB"/>
        </w:rPr>
        <w:t xml:space="preserve"> costs to the generation.</w:t>
      </w:r>
    </w:p>
    <w:p w:rsidR="0079742E" w:rsidRPr="001E3FA2" w:rsidRDefault="000607B8" w:rsidP="002907AD">
      <w:pPr>
        <w:rPr>
          <w:lang w:val="en-GB"/>
        </w:rPr>
      </w:pPr>
      <w:r w:rsidRPr="001E3FA2">
        <w:rPr>
          <w:lang w:val="en-GB"/>
        </w:rPr>
        <w:t>The focus of this paper is to</w:t>
      </w:r>
      <w:r w:rsidR="00A96889" w:rsidRPr="001E3FA2">
        <w:rPr>
          <w:lang w:val="en-GB"/>
        </w:rPr>
        <w:t xml:space="preserve"> assess the cost of a PV system for a small household. Therefore we investigate what is needed for </w:t>
      </w:r>
      <w:r w:rsidR="00EF2832" w:rsidRPr="001E3FA2">
        <w:rPr>
          <w:lang w:val="en-GB"/>
        </w:rPr>
        <w:t xml:space="preserve">a </w:t>
      </w:r>
      <w:r w:rsidR="00A96889" w:rsidRPr="001E3FA2">
        <w:rPr>
          <w:lang w:val="en-GB"/>
        </w:rPr>
        <w:t xml:space="preserve">functioning PV system and what the costs are. </w:t>
      </w:r>
      <w:r w:rsidRPr="001E3FA2">
        <w:rPr>
          <w:lang w:val="en-GB"/>
        </w:rPr>
        <w:t xml:space="preserve">We will also </w:t>
      </w:r>
      <w:r w:rsidR="005B6E69" w:rsidRPr="001E3FA2">
        <w:rPr>
          <w:lang w:val="en-GB"/>
        </w:rPr>
        <w:t>compare these</w:t>
      </w:r>
      <w:r w:rsidRPr="001E3FA2">
        <w:rPr>
          <w:lang w:val="en-GB"/>
        </w:rPr>
        <w:t xml:space="preserve"> fac</w:t>
      </w:r>
      <w:r w:rsidR="00032746">
        <w:rPr>
          <w:lang w:val="en-GB"/>
        </w:rPr>
        <w:t>tors in Austria and</w:t>
      </w:r>
      <w:r w:rsidRPr="001E3FA2">
        <w:rPr>
          <w:lang w:val="en-GB"/>
        </w:rPr>
        <w:t xml:space="preserve"> </w:t>
      </w:r>
      <w:r w:rsidR="00032746">
        <w:rPr>
          <w:lang w:val="en-GB"/>
        </w:rPr>
        <w:t xml:space="preserve">the </w:t>
      </w:r>
      <w:r w:rsidRPr="001E3FA2">
        <w:rPr>
          <w:lang w:val="en-GB"/>
        </w:rPr>
        <w:t>Czech</w:t>
      </w:r>
      <w:r w:rsidR="00032746">
        <w:rPr>
          <w:lang w:val="en-GB"/>
        </w:rPr>
        <w:t xml:space="preserve"> Republic. After presenting our findings we will assess what the average cost of one unit energy is for this installation, the levelized cost of generating energy. This will be used to judge the economic viability of PV systems in Austria and Czech for an </w:t>
      </w:r>
      <w:r w:rsidR="00DD08E8">
        <w:rPr>
          <w:lang w:val="en-GB"/>
        </w:rPr>
        <w:t>example calculation.</w:t>
      </w:r>
    </w:p>
    <w:p w:rsidR="007A29A6" w:rsidRPr="001E3FA2" w:rsidRDefault="001F46B6" w:rsidP="007A29A6">
      <w:pPr>
        <w:pStyle w:val="berschrift1"/>
        <w:rPr>
          <w:lang w:val="en-GB"/>
        </w:rPr>
      </w:pPr>
      <w:bookmarkStart w:id="6" w:name="_Toc422916320"/>
      <w:r>
        <w:rPr>
          <w:lang w:val="en-GB"/>
        </w:rPr>
        <w:t>4.</w:t>
      </w:r>
      <w:r>
        <w:rPr>
          <w:lang w:val="en-GB"/>
        </w:rPr>
        <w:tab/>
      </w:r>
      <w:r w:rsidR="002907AD" w:rsidRPr="001E3FA2">
        <w:rPr>
          <w:lang w:val="en-GB"/>
        </w:rPr>
        <w:t>Results</w:t>
      </w:r>
      <w:bookmarkEnd w:id="6"/>
    </w:p>
    <w:p w:rsidR="0079742E" w:rsidRPr="001E3FA2" w:rsidRDefault="00DD08E8" w:rsidP="007E0E25">
      <w:pPr>
        <w:pStyle w:val="berschrift2"/>
        <w:rPr>
          <w:lang w:val="en-GB"/>
        </w:rPr>
      </w:pPr>
      <w:bookmarkStart w:id="7" w:name="_Toc422916321"/>
      <w:r>
        <w:rPr>
          <w:lang w:val="en-GB"/>
        </w:rPr>
        <w:t xml:space="preserve">Investment </w:t>
      </w:r>
      <w:r w:rsidR="00021C16" w:rsidRPr="001E3FA2">
        <w:rPr>
          <w:lang w:val="en-GB"/>
        </w:rPr>
        <w:t>Costs</w:t>
      </w:r>
      <w:bookmarkEnd w:id="7"/>
    </w:p>
    <w:p w:rsidR="0026458C" w:rsidRDefault="00DA0D33" w:rsidP="0079742E">
      <w:pPr>
        <w:rPr>
          <w:lang w:val="en-GB"/>
        </w:rPr>
      </w:pPr>
      <w:r w:rsidRPr="001E3FA2">
        <w:rPr>
          <w:lang w:val="en-GB"/>
        </w:rPr>
        <w:t xml:space="preserve">The </w:t>
      </w:r>
      <w:r w:rsidR="00DD08E8">
        <w:rPr>
          <w:lang w:val="en-GB"/>
        </w:rPr>
        <w:t xml:space="preserve">investment </w:t>
      </w:r>
      <w:r w:rsidRPr="001E3FA2">
        <w:rPr>
          <w:lang w:val="en-GB"/>
        </w:rPr>
        <w:t xml:space="preserve">costs are the main </w:t>
      </w:r>
      <w:r w:rsidR="001E3FA2" w:rsidRPr="001E3FA2">
        <w:rPr>
          <w:lang w:val="en-GB"/>
        </w:rPr>
        <w:t>expenditure</w:t>
      </w:r>
      <w:r w:rsidRPr="001E3FA2">
        <w:rPr>
          <w:lang w:val="en-GB"/>
        </w:rPr>
        <w:t xml:space="preserve"> and are due on the beginning of the </w:t>
      </w:r>
      <w:r w:rsidR="001E3FA2" w:rsidRPr="001E3FA2">
        <w:rPr>
          <w:lang w:val="en-GB"/>
        </w:rPr>
        <w:t>photovoltaic</w:t>
      </w:r>
      <w:r w:rsidRPr="001E3FA2">
        <w:rPr>
          <w:lang w:val="en-GB"/>
        </w:rPr>
        <w:t xml:space="preserve"> invest</w:t>
      </w:r>
      <w:r w:rsidR="007E0E25" w:rsidRPr="001E3FA2">
        <w:rPr>
          <w:lang w:val="en-GB"/>
        </w:rPr>
        <w:t xml:space="preserve">ment. Besides the total costs of all </w:t>
      </w:r>
      <w:r w:rsidR="001E3FA2" w:rsidRPr="001E3FA2">
        <w:rPr>
          <w:lang w:val="en-GB"/>
        </w:rPr>
        <w:t>components</w:t>
      </w:r>
      <w:r w:rsidR="007E0E25" w:rsidRPr="001E3FA2">
        <w:rPr>
          <w:lang w:val="en-GB"/>
        </w:rPr>
        <w:t xml:space="preserve"> of the PV System also the montage has to be paid. </w:t>
      </w:r>
    </w:p>
    <w:p w:rsidR="0026458C" w:rsidRDefault="007E0E25" w:rsidP="0079742E">
      <w:pPr>
        <w:rPr>
          <w:lang w:val="en-GB"/>
        </w:rPr>
      </w:pPr>
      <w:r w:rsidRPr="001E3FA2">
        <w:rPr>
          <w:lang w:val="en-GB"/>
        </w:rPr>
        <w:t xml:space="preserve">According to </w:t>
      </w:r>
      <w:sdt>
        <w:sdtPr>
          <w:id w:val="8491547"/>
          <w:citation/>
        </w:sdtPr>
        <w:sdtContent>
          <w:r w:rsidR="00A008B9">
            <w:fldChar w:fldCharType="begin"/>
          </w:r>
          <w:r w:rsidR="001E1BD9">
            <w:instrText xml:space="preserve"> CITATION Inn14 \l 1061  </w:instrText>
          </w:r>
          <w:r w:rsidR="00A008B9">
            <w:fldChar w:fldCharType="separate"/>
          </w:r>
          <w:r w:rsidR="00796F8C" w:rsidRPr="00796F8C">
            <w:rPr>
              <w:noProof/>
            </w:rPr>
            <w:t>(Biermayr, et al., 2015)</w:t>
          </w:r>
          <w:r w:rsidR="00A008B9">
            <w:rPr>
              <w:noProof/>
            </w:rPr>
            <w:fldChar w:fldCharType="end"/>
          </w:r>
        </w:sdtContent>
      </w:sdt>
      <w:r w:rsidRPr="004F2299">
        <w:t xml:space="preserve"> the</w:t>
      </w:r>
      <w:r w:rsidRPr="001E3FA2">
        <w:rPr>
          <w:lang w:val="en-GB"/>
        </w:rPr>
        <w:t xml:space="preserve"> cost of complete </w:t>
      </w:r>
      <w:r w:rsidR="00D33179">
        <w:rPr>
          <w:lang w:val="en-GB"/>
        </w:rPr>
        <w:t>5k</w:t>
      </w:r>
      <w:r w:rsidR="008A6D2C" w:rsidRPr="001E3FA2">
        <w:rPr>
          <w:lang w:val="en-GB"/>
        </w:rPr>
        <w:t xml:space="preserve">Wp </w:t>
      </w:r>
      <w:r w:rsidR="0026458C">
        <w:rPr>
          <w:lang w:val="en-GB"/>
        </w:rPr>
        <w:t>roof-top PV</w:t>
      </w:r>
      <w:r w:rsidRPr="001E3FA2">
        <w:rPr>
          <w:lang w:val="en-GB"/>
        </w:rPr>
        <w:t xml:space="preserve"> s</w:t>
      </w:r>
      <w:r w:rsidR="0026458C">
        <w:rPr>
          <w:lang w:val="en-GB"/>
        </w:rPr>
        <w:t>ystem,</w:t>
      </w:r>
      <w:r w:rsidR="00223E2A" w:rsidRPr="001E3FA2">
        <w:rPr>
          <w:lang w:val="en-GB"/>
        </w:rPr>
        <w:t xml:space="preserve"> including installation</w:t>
      </w:r>
      <w:r w:rsidR="0026458C">
        <w:rPr>
          <w:lang w:val="en-GB"/>
        </w:rPr>
        <w:t>,</w:t>
      </w:r>
      <w:r w:rsidR="00223E2A" w:rsidRPr="001E3FA2">
        <w:rPr>
          <w:lang w:val="en-GB"/>
        </w:rPr>
        <w:t xml:space="preserve"> in Austria was on average</w:t>
      </w:r>
      <w:r w:rsidR="00D33179">
        <w:rPr>
          <w:lang w:val="en-GB"/>
        </w:rPr>
        <w:t xml:space="preserve"> 1.752€ per kilowatt peak</w:t>
      </w:r>
      <w:r w:rsidRPr="001E3FA2">
        <w:rPr>
          <w:lang w:val="en-GB"/>
        </w:rPr>
        <w:t>.</w:t>
      </w:r>
    </w:p>
    <w:p w:rsidR="008A6D2C" w:rsidRPr="001E3FA2" w:rsidRDefault="0026458C" w:rsidP="0079742E">
      <w:pPr>
        <w:rPr>
          <w:lang w:val="en-GB"/>
        </w:rPr>
      </w:pPr>
      <w:r w:rsidRPr="0026458C">
        <w:rPr>
          <w:lang w:val="en-GB"/>
        </w:rPr>
        <w:t xml:space="preserve">The </w:t>
      </w:r>
      <w:r w:rsidR="00DD08E8">
        <w:rPr>
          <w:lang w:val="en-GB"/>
        </w:rPr>
        <w:t xml:space="preserve">investments </w:t>
      </w:r>
      <w:r w:rsidRPr="0026458C">
        <w:rPr>
          <w:lang w:val="en-GB"/>
        </w:rPr>
        <w:t>costs</w:t>
      </w:r>
      <w:r>
        <w:rPr>
          <w:lang w:val="en-GB"/>
        </w:rPr>
        <w:t xml:space="preserve"> for PV in Czech Republic are </w:t>
      </w:r>
      <w:r w:rsidRPr="0026458C">
        <w:rPr>
          <w:lang w:val="en-GB"/>
        </w:rPr>
        <w:t>217700 CZK</w:t>
      </w:r>
      <w:r>
        <w:rPr>
          <w:lang w:val="en-GB"/>
        </w:rPr>
        <w:t xml:space="preserve"> </w:t>
      </w:r>
      <w:r w:rsidRPr="0026458C">
        <w:rPr>
          <w:lang w:val="en-GB"/>
        </w:rPr>
        <w:t xml:space="preserve">for </w:t>
      </w:r>
      <w:r>
        <w:rPr>
          <w:lang w:val="en-GB"/>
        </w:rPr>
        <w:t xml:space="preserve">a </w:t>
      </w:r>
      <w:r w:rsidR="00D33179">
        <w:rPr>
          <w:lang w:val="en-GB"/>
        </w:rPr>
        <w:t>5k</w:t>
      </w:r>
      <w:r w:rsidRPr="0026458C">
        <w:rPr>
          <w:lang w:val="en-GB"/>
        </w:rPr>
        <w:t>Wp</w:t>
      </w:r>
      <w:r>
        <w:rPr>
          <w:lang w:val="en-GB"/>
        </w:rPr>
        <w:t xml:space="preserve"> system, based on a model project</w:t>
      </w:r>
      <w:r w:rsidR="00DD08E8">
        <w:rPr>
          <w:lang w:val="en-GB"/>
        </w:rPr>
        <w:t>, including the installation</w:t>
      </w:r>
      <w:r>
        <w:rPr>
          <w:lang w:val="en-GB"/>
        </w:rPr>
        <w:t xml:space="preserve">. </w:t>
      </w:r>
    </w:p>
    <w:p w:rsidR="00CE489E" w:rsidRPr="001E3FA2" w:rsidRDefault="00223E2A" w:rsidP="0079742E">
      <w:pPr>
        <w:rPr>
          <w:lang w:val="en-GB"/>
        </w:rPr>
      </w:pPr>
      <w:r w:rsidRPr="001E3FA2">
        <w:rPr>
          <w:lang w:val="en-GB"/>
        </w:rPr>
        <w:t xml:space="preserve">When talking about high expenditures the cost of capital </w:t>
      </w:r>
      <w:r w:rsidR="001E3FA2" w:rsidRPr="001E3FA2">
        <w:rPr>
          <w:lang w:val="en-GB"/>
        </w:rPr>
        <w:t>cannot</w:t>
      </w:r>
      <w:r w:rsidRPr="001E3FA2">
        <w:rPr>
          <w:lang w:val="en-GB"/>
        </w:rPr>
        <w:t xml:space="preserve"> be </w:t>
      </w:r>
      <w:r w:rsidR="001E3FA2" w:rsidRPr="001E3FA2">
        <w:rPr>
          <w:lang w:val="en-GB"/>
        </w:rPr>
        <w:t>neglected</w:t>
      </w:r>
      <w:r w:rsidRPr="001E3FA2">
        <w:rPr>
          <w:lang w:val="en-GB"/>
        </w:rPr>
        <w:t>. Because, on the one hand, when not enough capital is available to purchase the PV system it is possible to take a credit, but the int</w:t>
      </w:r>
      <w:r w:rsidR="00CE489E" w:rsidRPr="001E3FA2">
        <w:rPr>
          <w:lang w:val="en-GB"/>
        </w:rPr>
        <w:t>e</w:t>
      </w:r>
      <w:r w:rsidRPr="001E3FA2">
        <w:rPr>
          <w:lang w:val="en-GB"/>
        </w:rPr>
        <w:t>rest must b</w:t>
      </w:r>
      <w:r w:rsidR="00CE489E" w:rsidRPr="001E3FA2">
        <w:rPr>
          <w:lang w:val="en-GB"/>
        </w:rPr>
        <w:t xml:space="preserve">e paid. </w:t>
      </w:r>
      <w:r w:rsidR="007273F8" w:rsidRPr="001E3FA2">
        <w:rPr>
          <w:lang w:val="en-GB"/>
        </w:rPr>
        <w:t>W</w:t>
      </w:r>
      <w:r w:rsidR="00CE489E" w:rsidRPr="001E3FA2">
        <w:rPr>
          <w:lang w:val="en-GB"/>
        </w:rPr>
        <w:t xml:space="preserve">hen the household has enough equity, the money </w:t>
      </w:r>
      <w:r w:rsidR="001E3FA2" w:rsidRPr="001E3FA2">
        <w:rPr>
          <w:lang w:val="en-GB"/>
        </w:rPr>
        <w:t>could</w:t>
      </w:r>
      <w:r w:rsidR="00B60BCD">
        <w:rPr>
          <w:lang w:val="en-GB"/>
        </w:rPr>
        <w:t xml:space="preserve"> have been used otherwise which are called </w:t>
      </w:r>
      <w:r w:rsidR="001E3FA2" w:rsidRPr="001E3FA2">
        <w:rPr>
          <w:lang w:val="en-GB"/>
        </w:rPr>
        <w:t>opportunity</w:t>
      </w:r>
      <w:r w:rsidR="00CE489E" w:rsidRPr="001E3FA2">
        <w:rPr>
          <w:lang w:val="en-GB"/>
        </w:rPr>
        <w:t xml:space="preserve"> costs. </w:t>
      </w:r>
    </w:p>
    <w:p w:rsidR="00CE489E" w:rsidRPr="001E3FA2" w:rsidRDefault="007273F8" w:rsidP="0079742E">
      <w:pPr>
        <w:rPr>
          <w:lang w:val="en-GB"/>
        </w:rPr>
      </w:pPr>
      <w:r w:rsidRPr="001E3FA2">
        <w:rPr>
          <w:lang w:val="en-GB"/>
        </w:rPr>
        <w:t>On the other hand, w</w:t>
      </w:r>
      <w:r w:rsidR="00CE489E" w:rsidRPr="001E3FA2">
        <w:rPr>
          <w:lang w:val="en-GB"/>
        </w:rPr>
        <w:t>hen the PV system comes i</w:t>
      </w:r>
      <w:r w:rsidR="001E3FA2">
        <w:rPr>
          <w:lang w:val="en-GB"/>
        </w:rPr>
        <w:t>nto operation and from the gen</w:t>
      </w:r>
      <w:r w:rsidR="00CE489E" w:rsidRPr="001E3FA2">
        <w:rPr>
          <w:lang w:val="en-GB"/>
        </w:rPr>
        <w:t>eration income is obtained it must be respected that money obtained at a later time is less worth (time preference of money).</w:t>
      </w:r>
    </w:p>
    <w:p w:rsidR="00CE489E" w:rsidRPr="001E3FA2" w:rsidRDefault="00CE489E" w:rsidP="0079742E">
      <w:pPr>
        <w:rPr>
          <w:lang w:val="en-GB"/>
        </w:rPr>
      </w:pPr>
      <w:r w:rsidRPr="001E3FA2">
        <w:rPr>
          <w:lang w:val="en-GB"/>
        </w:rPr>
        <w:t xml:space="preserve">Above discussion </w:t>
      </w:r>
      <w:r w:rsidR="007273F8" w:rsidRPr="001E3FA2">
        <w:rPr>
          <w:lang w:val="en-GB"/>
        </w:rPr>
        <w:t xml:space="preserve">leads to the application of the discount rate to quantify this issues. It can vary from household to household. It </w:t>
      </w:r>
      <w:r w:rsidR="001E3FA2" w:rsidRPr="001E3FA2">
        <w:rPr>
          <w:lang w:val="en-GB"/>
        </w:rPr>
        <w:t>depends</w:t>
      </w:r>
      <w:r w:rsidR="007273F8" w:rsidRPr="001E3FA2">
        <w:rPr>
          <w:lang w:val="en-GB"/>
        </w:rPr>
        <w:t xml:space="preserve"> on what </w:t>
      </w:r>
      <w:r w:rsidR="001E3FA2" w:rsidRPr="001E3FA2">
        <w:rPr>
          <w:lang w:val="en-GB"/>
        </w:rPr>
        <w:t>interest</w:t>
      </w:r>
      <w:r w:rsidR="007273F8" w:rsidRPr="001E3FA2">
        <w:rPr>
          <w:lang w:val="en-GB"/>
        </w:rPr>
        <w:t xml:space="preserve"> rate can be obtained from alternative </w:t>
      </w:r>
      <w:r w:rsidR="001E3FA2" w:rsidRPr="001E3FA2">
        <w:rPr>
          <w:lang w:val="en-GB"/>
        </w:rPr>
        <w:t>investments</w:t>
      </w:r>
      <w:r w:rsidR="007273F8" w:rsidRPr="001E3FA2">
        <w:rPr>
          <w:lang w:val="en-GB"/>
        </w:rPr>
        <w:t xml:space="preserve">. For </w:t>
      </w:r>
      <w:r w:rsidR="001E3FA2" w:rsidRPr="001E3FA2">
        <w:rPr>
          <w:lang w:val="en-GB"/>
        </w:rPr>
        <w:t>example</w:t>
      </w:r>
      <w:r w:rsidR="007273F8" w:rsidRPr="001E3FA2">
        <w:rPr>
          <w:lang w:val="en-GB"/>
        </w:rPr>
        <w:t xml:space="preserve"> it could be </w:t>
      </w:r>
      <w:r w:rsidR="007E6C77" w:rsidRPr="001E3FA2">
        <w:rPr>
          <w:lang w:val="en-GB"/>
        </w:rPr>
        <w:t xml:space="preserve">set as the </w:t>
      </w:r>
      <w:r w:rsidR="001E3FA2" w:rsidRPr="001E3FA2">
        <w:rPr>
          <w:lang w:val="en-GB"/>
        </w:rPr>
        <w:t>interest</w:t>
      </w:r>
      <w:r w:rsidR="007E6C77" w:rsidRPr="001E3FA2">
        <w:rPr>
          <w:lang w:val="en-GB"/>
        </w:rPr>
        <w:t xml:space="preserve"> rate from saf</w:t>
      </w:r>
      <w:r w:rsidR="007273F8" w:rsidRPr="001E3FA2">
        <w:rPr>
          <w:lang w:val="en-GB"/>
        </w:rPr>
        <w:t>e bonds plus a premium.</w:t>
      </w:r>
    </w:p>
    <w:p w:rsidR="007273F8" w:rsidRPr="001E3FA2" w:rsidRDefault="007273F8" w:rsidP="0079742E">
      <w:pPr>
        <w:rPr>
          <w:lang w:val="en-GB"/>
        </w:rPr>
      </w:pPr>
      <w:r w:rsidRPr="001E3FA2">
        <w:rPr>
          <w:lang w:val="en-GB"/>
        </w:rPr>
        <w:t xml:space="preserve">When a bank load is taken for the installation costs it should be at least as high as the </w:t>
      </w:r>
      <w:r w:rsidR="001E3FA2" w:rsidRPr="001E3FA2">
        <w:rPr>
          <w:lang w:val="en-GB"/>
        </w:rPr>
        <w:t>interest</w:t>
      </w:r>
      <w:r w:rsidRPr="001E3FA2">
        <w:rPr>
          <w:lang w:val="en-GB"/>
        </w:rPr>
        <w:t xml:space="preserve"> rate on the loan. When both </w:t>
      </w:r>
      <w:r w:rsidR="00E853DE" w:rsidRPr="001E3FA2">
        <w:rPr>
          <w:lang w:val="en-GB"/>
        </w:rPr>
        <w:t xml:space="preserve">own equity and </w:t>
      </w:r>
      <w:r w:rsidR="001E3FA2" w:rsidRPr="001E3FA2">
        <w:rPr>
          <w:lang w:val="en-GB"/>
        </w:rPr>
        <w:t>debt</w:t>
      </w:r>
      <w:r w:rsidR="00E853DE" w:rsidRPr="001E3FA2">
        <w:rPr>
          <w:lang w:val="en-GB"/>
        </w:rPr>
        <w:t xml:space="preserve"> is used the method of weig</w:t>
      </w:r>
      <w:r w:rsidR="00CA5FF0" w:rsidRPr="001E3FA2">
        <w:rPr>
          <w:lang w:val="en-GB"/>
        </w:rPr>
        <w:t>hted capital costs (WACC) can be</w:t>
      </w:r>
      <w:r w:rsidR="00E853DE" w:rsidRPr="001E3FA2">
        <w:rPr>
          <w:lang w:val="en-GB"/>
        </w:rPr>
        <w:t xml:space="preserve"> used. </w:t>
      </w:r>
    </w:p>
    <w:p w:rsidR="0079742E" w:rsidRPr="001E3FA2" w:rsidRDefault="008B3E17" w:rsidP="0079742E">
      <w:pPr>
        <w:rPr>
          <w:lang w:val="en-GB"/>
        </w:rPr>
      </w:pPr>
      <w:r>
        <w:rPr>
          <w:lang w:val="en-GB"/>
        </w:rPr>
        <w:lastRenderedPageBreak/>
        <w:t xml:space="preserve">In the course of </w:t>
      </w:r>
      <w:r w:rsidR="00FC2599" w:rsidRPr="001E3FA2">
        <w:rPr>
          <w:lang w:val="en-GB"/>
        </w:rPr>
        <w:t xml:space="preserve">projecting the PV system it is essential to consider that </w:t>
      </w:r>
      <w:r w:rsidR="001E3FA2" w:rsidRPr="001E3FA2">
        <w:rPr>
          <w:lang w:val="en-GB"/>
        </w:rPr>
        <w:t>saving</w:t>
      </w:r>
      <w:r w:rsidR="00FC2599" w:rsidRPr="001E3FA2">
        <w:rPr>
          <w:lang w:val="en-GB"/>
        </w:rPr>
        <w:t xml:space="preserve"> in expenses on the PV installation can have effect on the yields. For example a more </w:t>
      </w:r>
      <w:r w:rsidR="001E3FA2" w:rsidRPr="001E3FA2">
        <w:rPr>
          <w:lang w:val="en-GB"/>
        </w:rPr>
        <w:t>efficient</w:t>
      </w:r>
      <w:r w:rsidR="00FC2599" w:rsidRPr="001E3FA2">
        <w:rPr>
          <w:lang w:val="en-GB"/>
        </w:rPr>
        <w:t xml:space="preserve"> inverter will cost more, but will lead to a higher yield. Also a professional installation </w:t>
      </w:r>
      <w:r w:rsidR="001E3FA2" w:rsidRPr="001E3FA2">
        <w:rPr>
          <w:lang w:val="en-GB"/>
        </w:rPr>
        <w:t>can decrease</w:t>
      </w:r>
      <w:r w:rsidR="005940D6" w:rsidRPr="001E3FA2">
        <w:rPr>
          <w:lang w:val="en-GB"/>
        </w:rPr>
        <w:t xml:space="preserve"> </w:t>
      </w:r>
      <w:r w:rsidR="00FC2599" w:rsidRPr="001E3FA2">
        <w:rPr>
          <w:lang w:val="en-GB"/>
        </w:rPr>
        <w:t xml:space="preserve">later </w:t>
      </w:r>
      <w:r w:rsidR="001E3FA2" w:rsidRPr="001E3FA2">
        <w:rPr>
          <w:lang w:val="en-GB"/>
        </w:rPr>
        <w:t>expenses</w:t>
      </w:r>
      <w:r w:rsidR="00FC2599" w:rsidRPr="001E3FA2">
        <w:rPr>
          <w:lang w:val="en-GB"/>
        </w:rPr>
        <w:t xml:space="preserve"> on operational costs. </w:t>
      </w:r>
      <w:r>
        <w:rPr>
          <w:lang w:val="en-GB"/>
        </w:rPr>
        <w:t>Therefore there is possible trade-off between non-recurring investment cost and future effects on the operation costs.</w:t>
      </w:r>
    </w:p>
    <w:p w:rsidR="0079742E" w:rsidRPr="001E3FA2" w:rsidRDefault="00021C16" w:rsidP="0079742E">
      <w:pPr>
        <w:pStyle w:val="berschrift2"/>
        <w:ind w:left="0" w:firstLine="0"/>
        <w:rPr>
          <w:lang w:val="en-GB"/>
        </w:rPr>
      </w:pPr>
      <w:bookmarkStart w:id="8" w:name="_Toc422916322"/>
      <w:r w:rsidRPr="001E3FA2">
        <w:rPr>
          <w:lang w:val="en-GB"/>
        </w:rPr>
        <w:t>Operatio</w:t>
      </w:r>
      <w:r w:rsidR="0079742E" w:rsidRPr="001E3FA2">
        <w:rPr>
          <w:lang w:val="en-GB"/>
        </w:rPr>
        <w:t>n Costs</w:t>
      </w:r>
      <w:bookmarkEnd w:id="8"/>
    </w:p>
    <w:p w:rsidR="00F119A9" w:rsidRPr="001E3FA2" w:rsidRDefault="007E6C77" w:rsidP="007E6C77">
      <w:pPr>
        <w:rPr>
          <w:rStyle w:val="Fett"/>
          <w:b w:val="0"/>
          <w:lang w:val="en-GB"/>
        </w:rPr>
      </w:pPr>
      <w:r w:rsidRPr="001E3FA2">
        <w:rPr>
          <w:rStyle w:val="Fett"/>
          <w:b w:val="0"/>
          <w:lang w:val="en-GB"/>
        </w:rPr>
        <w:t xml:space="preserve">Electricity generation with </w:t>
      </w:r>
      <w:r w:rsidR="001E3FA2" w:rsidRPr="001E3FA2">
        <w:rPr>
          <w:rStyle w:val="Fett"/>
          <w:b w:val="0"/>
          <w:lang w:val="en-GB"/>
        </w:rPr>
        <w:t>photovoltaic</w:t>
      </w:r>
      <w:r w:rsidRPr="001E3FA2">
        <w:rPr>
          <w:rStyle w:val="Fett"/>
          <w:b w:val="0"/>
          <w:lang w:val="en-GB"/>
        </w:rPr>
        <w:t xml:space="preserve"> does not include any moving mechanical parts.</w:t>
      </w:r>
      <w:r w:rsidR="00206547" w:rsidRPr="001E3FA2">
        <w:rPr>
          <w:rStyle w:val="Fett"/>
          <w:b w:val="0"/>
          <w:lang w:val="en-GB"/>
        </w:rPr>
        <w:t xml:space="preserve"> Therefore</w:t>
      </w:r>
      <w:r w:rsidRPr="001E3FA2">
        <w:rPr>
          <w:rStyle w:val="Fett"/>
          <w:b w:val="0"/>
          <w:lang w:val="en-GB"/>
        </w:rPr>
        <w:t xml:space="preserve"> </w:t>
      </w:r>
      <w:r w:rsidR="00206547" w:rsidRPr="001E3FA2">
        <w:rPr>
          <w:rStyle w:val="Fett"/>
          <w:b w:val="0"/>
          <w:lang w:val="en-GB"/>
        </w:rPr>
        <w:t xml:space="preserve">there should be no </w:t>
      </w:r>
      <w:r w:rsidR="001E3FA2" w:rsidRPr="001E3FA2">
        <w:rPr>
          <w:rStyle w:val="Fett"/>
          <w:b w:val="0"/>
          <w:lang w:val="en-GB"/>
        </w:rPr>
        <w:t>wear out</w:t>
      </w:r>
      <w:r w:rsidR="00206547" w:rsidRPr="001E3FA2">
        <w:rPr>
          <w:rStyle w:val="Fett"/>
          <w:b w:val="0"/>
          <w:lang w:val="en-GB"/>
        </w:rPr>
        <w:t xml:space="preserve"> and running expe</w:t>
      </w:r>
      <w:r w:rsidR="00F119A9" w:rsidRPr="001E3FA2">
        <w:rPr>
          <w:rStyle w:val="Fett"/>
          <w:b w:val="0"/>
          <w:lang w:val="en-GB"/>
        </w:rPr>
        <w:t>nses for</w:t>
      </w:r>
      <w:r w:rsidR="001E3FA2">
        <w:rPr>
          <w:rStyle w:val="Fett"/>
          <w:b w:val="0"/>
          <w:lang w:val="en-GB"/>
        </w:rPr>
        <w:t xml:space="preserve"> maintenance</w:t>
      </w:r>
      <w:r w:rsidR="00F119A9" w:rsidRPr="001E3FA2">
        <w:rPr>
          <w:rStyle w:val="Fett"/>
          <w:b w:val="0"/>
          <w:lang w:val="en-GB"/>
        </w:rPr>
        <w:t xml:space="preserve">. This is </w:t>
      </w:r>
      <w:r w:rsidR="001E3FA2" w:rsidRPr="001E3FA2">
        <w:rPr>
          <w:rStyle w:val="Fett"/>
          <w:b w:val="0"/>
          <w:lang w:val="en-GB"/>
        </w:rPr>
        <w:t>true for</w:t>
      </w:r>
      <w:r w:rsidR="00F119A9" w:rsidRPr="001E3FA2">
        <w:rPr>
          <w:rStyle w:val="Fett"/>
          <w:b w:val="0"/>
          <w:lang w:val="en-GB"/>
        </w:rPr>
        <w:t xml:space="preserve"> the silicon modules itself but not for the electronics. </w:t>
      </w:r>
      <w:r w:rsidR="00F119A9" w:rsidRPr="001E3FA2">
        <w:rPr>
          <w:rStyle w:val="Fett"/>
          <w:b w:val="0"/>
          <w:lang w:val="en-GB"/>
        </w:rPr>
        <w:tab/>
      </w:r>
      <w:r w:rsidR="00F119A9" w:rsidRPr="001E3FA2">
        <w:rPr>
          <w:rStyle w:val="Fett"/>
          <w:b w:val="0"/>
          <w:lang w:val="en-GB"/>
        </w:rPr>
        <w:tab/>
      </w:r>
      <w:r w:rsidR="00F119A9" w:rsidRPr="001E3FA2">
        <w:rPr>
          <w:rStyle w:val="Fett"/>
          <w:b w:val="0"/>
          <w:lang w:val="en-GB"/>
        </w:rPr>
        <w:tab/>
      </w:r>
      <w:r w:rsidR="00F119A9" w:rsidRPr="001E3FA2">
        <w:rPr>
          <w:rStyle w:val="Fett"/>
          <w:b w:val="0"/>
          <w:lang w:val="en-GB"/>
        </w:rPr>
        <w:tab/>
      </w:r>
    </w:p>
    <w:p w:rsidR="0079742E" w:rsidRPr="001E3FA2" w:rsidRDefault="00F119A9" w:rsidP="007E6C77">
      <w:pPr>
        <w:rPr>
          <w:rStyle w:val="Fett"/>
          <w:b w:val="0"/>
          <w:lang w:val="en-GB"/>
        </w:rPr>
      </w:pPr>
      <w:r w:rsidRPr="001E3FA2">
        <w:rPr>
          <w:rStyle w:val="Fett"/>
          <w:b w:val="0"/>
          <w:lang w:val="en-GB"/>
        </w:rPr>
        <w:t xml:space="preserve">This leads to the </w:t>
      </w:r>
      <w:r w:rsidR="001E3FA2" w:rsidRPr="001E3FA2">
        <w:rPr>
          <w:rStyle w:val="Fett"/>
          <w:b w:val="0"/>
          <w:lang w:val="en-GB"/>
        </w:rPr>
        <w:t>peculiarity</w:t>
      </w:r>
      <w:r w:rsidRPr="001E3FA2">
        <w:rPr>
          <w:rStyle w:val="Fett"/>
          <w:b w:val="0"/>
          <w:lang w:val="en-GB"/>
        </w:rPr>
        <w:t xml:space="preserve">, </w:t>
      </w:r>
      <w:r w:rsidR="00206547" w:rsidRPr="001E3FA2">
        <w:rPr>
          <w:rStyle w:val="Fett"/>
          <w:b w:val="0"/>
          <w:lang w:val="en-GB"/>
        </w:rPr>
        <w:t xml:space="preserve">that </w:t>
      </w:r>
      <w:r w:rsidR="001E3FA2" w:rsidRPr="001E3FA2">
        <w:rPr>
          <w:rStyle w:val="Fett"/>
          <w:b w:val="0"/>
          <w:lang w:val="en-GB"/>
        </w:rPr>
        <w:t>although</w:t>
      </w:r>
      <w:r w:rsidR="00206547" w:rsidRPr="001E3FA2">
        <w:rPr>
          <w:rStyle w:val="Fett"/>
          <w:b w:val="0"/>
          <w:lang w:val="en-GB"/>
        </w:rPr>
        <w:t xml:space="preserve"> the PV modules have a lifetime of 25 years or</w:t>
      </w:r>
      <w:r w:rsidRPr="001E3FA2">
        <w:rPr>
          <w:rStyle w:val="Fett"/>
          <w:b w:val="0"/>
          <w:lang w:val="en-GB"/>
        </w:rPr>
        <w:t xml:space="preserve"> </w:t>
      </w:r>
      <w:r w:rsidR="00206547" w:rsidRPr="001E3FA2">
        <w:rPr>
          <w:rStyle w:val="Fett"/>
          <w:b w:val="0"/>
          <w:lang w:val="en-GB"/>
        </w:rPr>
        <w:t xml:space="preserve">more, current inverters have an expected lifetime of 15 years. </w:t>
      </w:r>
      <w:r w:rsidR="007E6C77" w:rsidRPr="001E3FA2">
        <w:rPr>
          <w:rStyle w:val="Fett"/>
          <w:b w:val="0"/>
          <w:lang w:val="en-GB"/>
        </w:rPr>
        <w:t xml:space="preserve"> </w:t>
      </w:r>
      <w:r w:rsidR="00206547" w:rsidRPr="001E3FA2">
        <w:rPr>
          <w:rStyle w:val="Fett"/>
          <w:b w:val="0"/>
          <w:lang w:val="en-GB"/>
        </w:rPr>
        <w:t>This means that in the minimal lifetime of the PV installation at least once the inverter needs to</w:t>
      </w:r>
      <w:r w:rsidR="001E3FA2">
        <w:rPr>
          <w:rStyle w:val="Fett"/>
          <w:b w:val="0"/>
          <w:lang w:val="en-GB"/>
        </w:rPr>
        <w:t xml:space="preserve"> be</w:t>
      </w:r>
      <w:r w:rsidR="00206547" w:rsidRPr="001E3FA2">
        <w:rPr>
          <w:rStyle w:val="Fett"/>
          <w:b w:val="0"/>
          <w:lang w:val="en-GB"/>
        </w:rPr>
        <w:t xml:space="preserve"> replaced. This </w:t>
      </w:r>
      <w:r w:rsidR="00DD08E8">
        <w:rPr>
          <w:rStyle w:val="Fett"/>
          <w:b w:val="0"/>
          <w:lang w:val="en-GB"/>
        </w:rPr>
        <w:t>can</w:t>
      </w:r>
      <w:r w:rsidR="00206547" w:rsidRPr="001E3FA2">
        <w:rPr>
          <w:rStyle w:val="Fett"/>
          <w:b w:val="0"/>
          <w:lang w:val="en-GB"/>
        </w:rPr>
        <w:t xml:space="preserve"> be considered in the operation costs.</w:t>
      </w:r>
    </w:p>
    <w:p w:rsidR="00F119A9" w:rsidRPr="001E3FA2" w:rsidRDefault="001E3FA2" w:rsidP="007E6C77">
      <w:pPr>
        <w:rPr>
          <w:rStyle w:val="Fett"/>
          <w:b w:val="0"/>
          <w:lang w:val="en-GB"/>
        </w:rPr>
      </w:pPr>
      <w:r w:rsidRPr="001E3FA2">
        <w:rPr>
          <w:rStyle w:val="Fett"/>
          <w:b w:val="0"/>
          <w:lang w:val="en-GB"/>
        </w:rPr>
        <w:t>Additionally</w:t>
      </w:r>
      <w:r w:rsidR="00F119A9" w:rsidRPr="001E3FA2">
        <w:rPr>
          <w:rStyle w:val="Fett"/>
          <w:b w:val="0"/>
          <w:lang w:val="en-GB"/>
        </w:rPr>
        <w:t xml:space="preserve"> </w:t>
      </w:r>
      <w:r w:rsidRPr="001E3FA2">
        <w:rPr>
          <w:rStyle w:val="Fett"/>
          <w:b w:val="0"/>
          <w:lang w:val="en-GB"/>
        </w:rPr>
        <w:t>it’s</w:t>
      </w:r>
      <w:r w:rsidR="00F119A9" w:rsidRPr="001E3FA2">
        <w:rPr>
          <w:rStyle w:val="Fett"/>
          <w:b w:val="0"/>
          <w:lang w:val="en-GB"/>
        </w:rPr>
        <w:t xml:space="preserve"> indispensable that the PV </w:t>
      </w:r>
      <w:r w:rsidRPr="001E3FA2">
        <w:rPr>
          <w:rStyle w:val="Fett"/>
          <w:b w:val="0"/>
          <w:lang w:val="en-GB"/>
        </w:rPr>
        <w:t>systems are</w:t>
      </w:r>
      <w:r w:rsidR="00F119A9" w:rsidRPr="001E3FA2">
        <w:rPr>
          <w:rStyle w:val="Fett"/>
          <w:b w:val="0"/>
          <w:lang w:val="en-GB"/>
        </w:rPr>
        <w:t xml:space="preserve"> </w:t>
      </w:r>
      <w:r w:rsidRPr="001E3FA2">
        <w:rPr>
          <w:rStyle w:val="Fett"/>
          <w:b w:val="0"/>
          <w:lang w:val="en-GB"/>
        </w:rPr>
        <w:t>regularly</w:t>
      </w:r>
      <w:r w:rsidR="00F119A9" w:rsidRPr="001E3FA2">
        <w:rPr>
          <w:rStyle w:val="Fett"/>
          <w:b w:val="0"/>
          <w:lang w:val="en-GB"/>
        </w:rPr>
        <w:t xml:space="preserve"> checked for functioning </w:t>
      </w:r>
      <w:r w:rsidRPr="001E3FA2">
        <w:rPr>
          <w:rStyle w:val="Fett"/>
          <w:b w:val="0"/>
          <w:lang w:val="en-GB"/>
        </w:rPr>
        <w:t>optimally</w:t>
      </w:r>
      <w:r w:rsidR="00F119A9" w:rsidRPr="001E3FA2">
        <w:rPr>
          <w:rStyle w:val="Fett"/>
          <w:b w:val="0"/>
          <w:lang w:val="en-GB"/>
        </w:rPr>
        <w:t xml:space="preserve">. Any malfunctions of one part of the system, for example a module, can decrease the whole PV system </w:t>
      </w:r>
      <w:r w:rsidRPr="001E3FA2">
        <w:rPr>
          <w:rStyle w:val="Fett"/>
          <w:b w:val="0"/>
          <w:lang w:val="en-GB"/>
        </w:rPr>
        <w:t>performance</w:t>
      </w:r>
      <w:r w:rsidR="00F119A9" w:rsidRPr="001E3FA2">
        <w:rPr>
          <w:rStyle w:val="Fett"/>
          <w:b w:val="0"/>
          <w:lang w:val="en-GB"/>
        </w:rPr>
        <w:t>.</w:t>
      </w:r>
    </w:p>
    <w:p w:rsidR="0079742E" w:rsidRPr="001E3FA2" w:rsidRDefault="00DD08E8" w:rsidP="0079742E">
      <w:pPr>
        <w:rPr>
          <w:bCs/>
          <w:lang w:val="en-GB"/>
        </w:rPr>
      </w:pPr>
      <w:r>
        <w:rPr>
          <w:rStyle w:val="Fett"/>
          <w:b w:val="0"/>
          <w:lang w:val="en-GB"/>
        </w:rPr>
        <w:t>Furthermore, c</w:t>
      </w:r>
      <w:r w:rsidR="00F119A9" w:rsidRPr="001E3FA2">
        <w:rPr>
          <w:rStyle w:val="Fett"/>
          <w:b w:val="0"/>
          <w:lang w:val="en-GB"/>
        </w:rPr>
        <w:t xml:space="preserve">leaning of the PV modules can </w:t>
      </w:r>
      <w:r w:rsidR="008A6D2C" w:rsidRPr="001E3FA2">
        <w:rPr>
          <w:rStyle w:val="Fett"/>
          <w:b w:val="0"/>
          <w:lang w:val="en-GB"/>
        </w:rPr>
        <w:t>also be important, but depends o</w:t>
      </w:r>
      <w:r w:rsidR="00F119A9" w:rsidRPr="001E3FA2">
        <w:rPr>
          <w:rStyle w:val="Fett"/>
          <w:b w:val="0"/>
          <w:lang w:val="en-GB"/>
        </w:rPr>
        <w:t xml:space="preserve">n where the PV modules are installed. </w:t>
      </w:r>
      <w:r w:rsidR="008A6D2C" w:rsidRPr="001E3FA2">
        <w:rPr>
          <w:rStyle w:val="Fett"/>
          <w:b w:val="0"/>
          <w:lang w:val="en-GB"/>
        </w:rPr>
        <w:t xml:space="preserve">For example next to a </w:t>
      </w:r>
      <w:r>
        <w:rPr>
          <w:rStyle w:val="Fett"/>
          <w:b w:val="0"/>
          <w:lang w:val="en-GB"/>
        </w:rPr>
        <w:t xml:space="preserve">busy street </w:t>
      </w:r>
      <w:r w:rsidR="008A6D2C" w:rsidRPr="001E3FA2">
        <w:rPr>
          <w:rStyle w:val="Fett"/>
          <w:b w:val="0"/>
          <w:lang w:val="en-GB"/>
        </w:rPr>
        <w:t>dust is collected on the modules</w:t>
      </w:r>
      <w:r>
        <w:rPr>
          <w:rStyle w:val="Fett"/>
          <w:b w:val="0"/>
          <w:lang w:val="en-GB"/>
        </w:rPr>
        <w:t xml:space="preserve"> and</w:t>
      </w:r>
      <w:r w:rsidR="008A6D2C" w:rsidRPr="001E3FA2">
        <w:rPr>
          <w:rStyle w:val="Fett"/>
          <w:b w:val="0"/>
          <w:lang w:val="en-GB"/>
        </w:rPr>
        <w:t xml:space="preserve"> </w:t>
      </w:r>
      <w:r w:rsidR="001E3FA2" w:rsidRPr="001E3FA2">
        <w:rPr>
          <w:rStyle w:val="Fett"/>
          <w:b w:val="0"/>
          <w:lang w:val="en-GB"/>
        </w:rPr>
        <w:t>requires</w:t>
      </w:r>
      <w:r w:rsidR="008A6D2C" w:rsidRPr="001E3FA2">
        <w:rPr>
          <w:rStyle w:val="Fett"/>
          <w:b w:val="0"/>
          <w:lang w:val="en-GB"/>
        </w:rPr>
        <w:t xml:space="preserve"> cleaning</w:t>
      </w:r>
      <w:r>
        <w:rPr>
          <w:rStyle w:val="Fett"/>
          <w:b w:val="0"/>
          <w:lang w:val="en-GB"/>
        </w:rPr>
        <w:t>,</w:t>
      </w:r>
      <w:r w:rsidR="008A6D2C" w:rsidRPr="001E3FA2">
        <w:rPr>
          <w:rStyle w:val="Fett"/>
          <w:b w:val="0"/>
          <w:lang w:val="en-GB"/>
        </w:rPr>
        <w:t xml:space="preserve"> but in other cases rainfall is enough.</w:t>
      </w:r>
    </w:p>
    <w:p w:rsidR="00021C16" w:rsidRPr="001E3FA2" w:rsidRDefault="00021C16" w:rsidP="0079742E">
      <w:pPr>
        <w:pStyle w:val="berschrift2"/>
        <w:ind w:left="0" w:firstLine="0"/>
        <w:rPr>
          <w:lang w:val="en-GB"/>
        </w:rPr>
      </w:pPr>
      <w:bookmarkStart w:id="9" w:name="_Toc422916323"/>
      <w:r w:rsidRPr="001E3FA2">
        <w:rPr>
          <w:lang w:val="en-GB"/>
        </w:rPr>
        <w:t>Legislative</w:t>
      </w:r>
      <w:bookmarkEnd w:id="9"/>
      <w:r w:rsidR="00601BEF" w:rsidRPr="001E3FA2">
        <w:rPr>
          <w:lang w:val="en-GB"/>
        </w:rPr>
        <w:tab/>
      </w:r>
      <w:r w:rsidR="00601BEF" w:rsidRPr="001E3FA2">
        <w:rPr>
          <w:lang w:val="en-GB"/>
        </w:rPr>
        <w:tab/>
      </w:r>
      <w:r w:rsidR="00601BEF" w:rsidRPr="001E3FA2">
        <w:rPr>
          <w:lang w:val="en-GB"/>
        </w:rPr>
        <w:tab/>
      </w:r>
      <w:r w:rsidR="00601BEF" w:rsidRPr="001E3FA2">
        <w:rPr>
          <w:lang w:val="en-GB"/>
        </w:rPr>
        <w:tab/>
      </w:r>
      <w:r w:rsidR="00601BEF" w:rsidRPr="001E3FA2">
        <w:rPr>
          <w:lang w:val="en-GB"/>
        </w:rPr>
        <w:tab/>
      </w:r>
      <w:r w:rsidR="00601BEF" w:rsidRPr="001E3FA2">
        <w:rPr>
          <w:lang w:val="en-GB"/>
        </w:rPr>
        <w:tab/>
      </w:r>
      <w:r w:rsidR="00601BEF" w:rsidRPr="001E3FA2">
        <w:rPr>
          <w:lang w:val="en-GB"/>
        </w:rPr>
        <w:tab/>
      </w:r>
      <w:r w:rsidR="00601BEF" w:rsidRPr="001E3FA2">
        <w:rPr>
          <w:lang w:val="en-GB"/>
        </w:rPr>
        <w:tab/>
      </w:r>
      <w:r w:rsidR="00601BEF" w:rsidRPr="001E3FA2">
        <w:rPr>
          <w:lang w:val="en-GB"/>
        </w:rPr>
        <w:tab/>
      </w:r>
      <w:r w:rsidR="00601BEF" w:rsidRPr="001E3FA2">
        <w:rPr>
          <w:lang w:val="en-GB"/>
        </w:rPr>
        <w:tab/>
      </w:r>
      <w:r w:rsidR="00601BEF" w:rsidRPr="001E3FA2">
        <w:rPr>
          <w:lang w:val="en-GB"/>
        </w:rPr>
        <w:tab/>
      </w:r>
    </w:p>
    <w:p w:rsidR="00021C16" w:rsidRPr="001E3FA2" w:rsidRDefault="00021C16" w:rsidP="00021C16">
      <w:pPr>
        <w:rPr>
          <w:lang w:val="en-GB"/>
        </w:rPr>
      </w:pPr>
      <w:r w:rsidRPr="001E3FA2">
        <w:rPr>
          <w:lang w:val="en-GB"/>
        </w:rPr>
        <w:t xml:space="preserve">When looking at economic </w:t>
      </w:r>
      <w:r w:rsidR="001E3FA2" w:rsidRPr="001E3FA2">
        <w:rPr>
          <w:lang w:val="en-GB"/>
        </w:rPr>
        <w:t>viability</w:t>
      </w:r>
      <w:r w:rsidRPr="001E3FA2">
        <w:rPr>
          <w:lang w:val="en-GB"/>
        </w:rPr>
        <w:t>, legislative regulations have also to be kept in mind. Module costs are</w:t>
      </w:r>
      <w:r w:rsidR="00955957">
        <w:rPr>
          <w:lang w:val="en-GB"/>
        </w:rPr>
        <w:t xml:space="preserve"> for example fairly</w:t>
      </w:r>
      <w:r w:rsidRPr="001E3FA2">
        <w:rPr>
          <w:lang w:val="en-GB"/>
        </w:rPr>
        <w:t xml:space="preserve"> homogenous across </w:t>
      </w:r>
      <w:r w:rsidR="001E3FA2" w:rsidRPr="001E3FA2">
        <w:rPr>
          <w:lang w:val="en-GB"/>
        </w:rPr>
        <w:t>Europe</w:t>
      </w:r>
      <w:r w:rsidR="00955957">
        <w:rPr>
          <w:lang w:val="en-GB"/>
        </w:rPr>
        <w:t xml:space="preserve">, because it is </w:t>
      </w:r>
      <w:r w:rsidRPr="001E3FA2">
        <w:rPr>
          <w:lang w:val="en-GB"/>
        </w:rPr>
        <w:t xml:space="preserve">one market, but legislative can be quite </w:t>
      </w:r>
      <w:r w:rsidR="001E3FA2" w:rsidRPr="001E3FA2">
        <w:rPr>
          <w:lang w:val="en-GB"/>
        </w:rPr>
        <w:t>heterogeneous</w:t>
      </w:r>
      <w:r w:rsidRPr="001E3FA2">
        <w:rPr>
          <w:lang w:val="en-GB"/>
        </w:rPr>
        <w:t xml:space="preserve">.  </w:t>
      </w:r>
      <w:r w:rsidR="00A96889" w:rsidRPr="001E3FA2">
        <w:rPr>
          <w:lang w:val="en-GB"/>
        </w:rPr>
        <w:t>Some aspects are mandated by the EU</w:t>
      </w:r>
      <w:r w:rsidR="00955957">
        <w:rPr>
          <w:lang w:val="en-GB"/>
        </w:rPr>
        <w:t xml:space="preserve">, </w:t>
      </w:r>
      <w:r w:rsidR="000607B8" w:rsidRPr="001E3FA2">
        <w:rPr>
          <w:lang w:val="en-GB"/>
        </w:rPr>
        <w:t>but the</w:t>
      </w:r>
      <w:r w:rsidR="00A96889" w:rsidRPr="001E3FA2">
        <w:rPr>
          <w:lang w:val="en-GB"/>
        </w:rPr>
        <w:t>re</w:t>
      </w:r>
      <w:r w:rsidR="000607B8" w:rsidRPr="001E3FA2">
        <w:rPr>
          <w:lang w:val="en-GB"/>
        </w:rPr>
        <w:t xml:space="preserve"> </w:t>
      </w:r>
      <w:r w:rsidR="00A96889" w:rsidRPr="001E3FA2">
        <w:rPr>
          <w:lang w:val="en-GB"/>
        </w:rPr>
        <w:t>is still variation</w:t>
      </w:r>
      <w:r w:rsidRPr="001E3FA2">
        <w:rPr>
          <w:lang w:val="en-GB"/>
        </w:rPr>
        <w:t xml:space="preserve"> in detail</w:t>
      </w:r>
      <w:r w:rsidR="00A96889" w:rsidRPr="001E3FA2">
        <w:rPr>
          <w:lang w:val="en-GB"/>
        </w:rPr>
        <w:t xml:space="preserve"> between </w:t>
      </w:r>
      <w:r w:rsidR="001E3FA2" w:rsidRPr="001E3FA2">
        <w:rPr>
          <w:lang w:val="en-GB"/>
        </w:rPr>
        <w:t>countries</w:t>
      </w:r>
      <w:r w:rsidRPr="001E3FA2">
        <w:rPr>
          <w:lang w:val="en-GB"/>
        </w:rPr>
        <w:t xml:space="preserve">. This can have severe economic impacts </w:t>
      </w:r>
      <w:r w:rsidR="00A96889" w:rsidRPr="001E3FA2">
        <w:rPr>
          <w:lang w:val="en-GB"/>
        </w:rPr>
        <w:t>on the calculations and also adds</w:t>
      </w:r>
      <w:r w:rsidRPr="001E3FA2">
        <w:rPr>
          <w:lang w:val="en-GB"/>
        </w:rPr>
        <w:t xml:space="preserve"> risk</w:t>
      </w:r>
      <w:r w:rsidR="00A96889" w:rsidRPr="001E3FA2">
        <w:rPr>
          <w:lang w:val="en-GB"/>
        </w:rPr>
        <w:t xml:space="preserve"> for the household when they change abruptly.</w:t>
      </w:r>
    </w:p>
    <w:p w:rsidR="00021C16" w:rsidRPr="001E3FA2" w:rsidRDefault="00021C16" w:rsidP="00021C16">
      <w:pPr>
        <w:rPr>
          <w:lang w:val="en-GB"/>
        </w:rPr>
      </w:pPr>
      <w:r w:rsidRPr="001E3FA2">
        <w:rPr>
          <w:lang w:val="en-GB"/>
        </w:rPr>
        <w:t xml:space="preserve">This can be </w:t>
      </w:r>
      <w:r w:rsidR="001E3FA2" w:rsidRPr="001E3FA2">
        <w:rPr>
          <w:lang w:val="en-GB"/>
        </w:rPr>
        <w:t>exemplified</w:t>
      </w:r>
      <w:r w:rsidRPr="001E3FA2">
        <w:rPr>
          <w:lang w:val="en-GB"/>
        </w:rPr>
        <w:t xml:space="preserve"> on the VAT regime in connection with private photovoltaic power supply. Value added tax (VAT) is paid for any </w:t>
      </w:r>
      <w:r w:rsidR="001E3FA2" w:rsidRPr="001E3FA2">
        <w:rPr>
          <w:lang w:val="en-GB"/>
        </w:rPr>
        <w:t>economic</w:t>
      </w:r>
      <w:r w:rsidRPr="001E3FA2">
        <w:rPr>
          <w:lang w:val="en-GB"/>
        </w:rPr>
        <w:t xml:space="preserve"> </w:t>
      </w:r>
      <w:r w:rsidR="001E3FA2" w:rsidRPr="001E3FA2">
        <w:rPr>
          <w:lang w:val="en-GB"/>
        </w:rPr>
        <w:t>activity</w:t>
      </w:r>
      <w:r w:rsidRPr="001E3FA2">
        <w:rPr>
          <w:lang w:val="en-GB"/>
        </w:rPr>
        <w:t xml:space="preserve"> by the consumer. When buying the photovoltaic s</w:t>
      </w:r>
      <w:r w:rsidR="00A96889" w:rsidRPr="001E3FA2">
        <w:rPr>
          <w:lang w:val="en-GB"/>
        </w:rPr>
        <w:t xml:space="preserve">ystem, VAT makes it more </w:t>
      </w:r>
      <w:r w:rsidRPr="001E3FA2">
        <w:rPr>
          <w:lang w:val="en-GB"/>
        </w:rPr>
        <w:t>expensive.</w:t>
      </w:r>
    </w:p>
    <w:p w:rsidR="00EF2832" w:rsidRPr="001E3FA2" w:rsidRDefault="00601BEF" w:rsidP="00021C16">
      <w:pPr>
        <w:rPr>
          <w:lang w:val="en-GB"/>
        </w:rPr>
      </w:pPr>
      <w:r w:rsidRPr="001E3FA2">
        <w:rPr>
          <w:lang w:val="en-GB"/>
        </w:rPr>
        <w:t xml:space="preserve">Therefore an </w:t>
      </w:r>
      <w:r w:rsidR="001E3FA2" w:rsidRPr="001E3FA2">
        <w:rPr>
          <w:lang w:val="en-GB"/>
        </w:rPr>
        <w:t>Austrian</w:t>
      </w:r>
      <w:r w:rsidR="00D33179">
        <w:rPr>
          <w:lang w:val="en-GB"/>
        </w:rPr>
        <w:t xml:space="preserve"> operator of a household 20 k</w:t>
      </w:r>
      <w:r w:rsidRPr="001E3FA2">
        <w:rPr>
          <w:lang w:val="en-GB"/>
        </w:rPr>
        <w:t xml:space="preserve">W </w:t>
      </w:r>
      <w:r w:rsidR="001E3FA2" w:rsidRPr="001E3FA2">
        <w:rPr>
          <w:lang w:val="en-GB"/>
        </w:rPr>
        <w:t>photovoltaic</w:t>
      </w:r>
      <w:r w:rsidRPr="001E3FA2">
        <w:rPr>
          <w:lang w:val="en-GB"/>
        </w:rPr>
        <w:t xml:space="preserve"> system </w:t>
      </w:r>
      <w:r w:rsidR="001E3FA2" w:rsidRPr="001E3FA2">
        <w:rPr>
          <w:lang w:val="en-GB"/>
        </w:rPr>
        <w:t>argued</w:t>
      </w:r>
      <w:r w:rsidRPr="001E3FA2">
        <w:rPr>
          <w:lang w:val="en-GB"/>
        </w:rPr>
        <w:t xml:space="preserve"> that by selling the PV energy he </w:t>
      </w:r>
      <w:r w:rsidR="001E3FA2" w:rsidRPr="001E3FA2">
        <w:rPr>
          <w:lang w:val="en-GB"/>
        </w:rPr>
        <w:t>actually</w:t>
      </w:r>
      <w:r w:rsidRPr="001E3FA2">
        <w:rPr>
          <w:lang w:val="en-GB"/>
        </w:rPr>
        <w:t xml:space="preserve"> has a </w:t>
      </w:r>
      <w:r w:rsidR="001E3FA2" w:rsidRPr="001E3FA2">
        <w:rPr>
          <w:lang w:val="en-GB"/>
        </w:rPr>
        <w:t>business</w:t>
      </w:r>
      <w:r w:rsidRPr="001E3FA2">
        <w:rPr>
          <w:lang w:val="en-GB"/>
        </w:rPr>
        <w:t xml:space="preserve"> and </w:t>
      </w:r>
      <w:r w:rsidR="003F06C4">
        <w:rPr>
          <w:lang w:val="en-GB"/>
        </w:rPr>
        <w:t>should not pay the tax. This le</w:t>
      </w:r>
      <w:r w:rsidRPr="001E3FA2">
        <w:rPr>
          <w:lang w:val="en-GB"/>
        </w:rPr>
        <w:t xml:space="preserve">d to a court case </w:t>
      </w:r>
      <w:r w:rsidR="003F06C4">
        <w:rPr>
          <w:lang w:val="en-GB"/>
        </w:rPr>
        <w:t>at</w:t>
      </w:r>
      <w:r w:rsidRPr="001E3FA2">
        <w:rPr>
          <w:lang w:val="en-GB"/>
        </w:rPr>
        <w:t xml:space="preserve"> the </w:t>
      </w:r>
      <w:r w:rsidR="001E3FA2" w:rsidRPr="001E3FA2">
        <w:rPr>
          <w:lang w:val="en-GB"/>
        </w:rPr>
        <w:t>European</w:t>
      </w:r>
      <w:r w:rsidR="003F06C4">
        <w:rPr>
          <w:lang w:val="en-GB"/>
        </w:rPr>
        <w:t xml:space="preserve"> Court of Justice, who ruled </w:t>
      </w:r>
      <w:r w:rsidRPr="001E3FA2">
        <w:rPr>
          <w:lang w:val="en-GB"/>
        </w:rPr>
        <w:t xml:space="preserve">in </w:t>
      </w:r>
      <w:r w:rsidR="001E3FA2" w:rsidRPr="001E3FA2">
        <w:rPr>
          <w:lang w:val="en-GB"/>
        </w:rPr>
        <w:t>favour</w:t>
      </w:r>
      <w:r w:rsidRPr="001E3FA2">
        <w:rPr>
          <w:lang w:val="en-GB"/>
        </w:rPr>
        <w:t xml:space="preserve"> of the operator</w:t>
      </w:r>
      <w:r w:rsidR="00B93CF7" w:rsidRPr="001E3FA2">
        <w:rPr>
          <w:lang w:val="en-GB"/>
        </w:rPr>
        <w:t xml:space="preserve"> </w:t>
      </w:r>
      <w:sdt>
        <w:sdtPr>
          <w:id w:val="11279135"/>
          <w:citation/>
        </w:sdtPr>
        <w:sdtContent>
          <w:r w:rsidR="00A008B9">
            <w:fldChar w:fldCharType="begin"/>
          </w:r>
          <w:r w:rsidR="001E1BD9">
            <w:instrText xml:space="preserve"> CITATION SAR13 \l 1061  </w:instrText>
          </w:r>
          <w:r w:rsidR="00A008B9">
            <w:fldChar w:fldCharType="separate"/>
          </w:r>
          <w:r w:rsidR="00796F8C" w:rsidRPr="00796F8C">
            <w:rPr>
              <w:noProof/>
            </w:rPr>
            <w:t>(Gregori &amp; Komarek, 2013)</w:t>
          </w:r>
          <w:r w:rsidR="00A008B9">
            <w:rPr>
              <w:noProof/>
            </w:rPr>
            <w:fldChar w:fldCharType="end"/>
          </w:r>
        </w:sdtContent>
      </w:sdt>
      <w:r w:rsidR="003F06C4" w:rsidRPr="004F2299">
        <w:t>.</w:t>
      </w:r>
    </w:p>
    <w:p w:rsidR="00021C16" w:rsidRPr="001E3FA2" w:rsidRDefault="00021C16" w:rsidP="00021C16">
      <w:pPr>
        <w:rPr>
          <w:lang w:val="en-GB"/>
        </w:rPr>
      </w:pPr>
      <w:r w:rsidRPr="001E3FA2">
        <w:rPr>
          <w:lang w:val="en-GB"/>
        </w:rPr>
        <w:t xml:space="preserve">Before </w:t>
      </w:r>
      <w:r w:rsidR="00601BEF" w:rsidRPr="001E3FA2">
        <w:rPr>
          <w:lang w:val="en-GB"/>
        </w:rPr>
        <w:t>this</w:t>
      </w:r>
      <w:r w:rsidRPr="001E3FA2">
        <w:rPr>
          <w:lang w:val="en-GB"/>
        </w:rPr>
        <w:t xml:space="preserve"> decision,</w:t>
      </w:r>
      <w:r w:rsidR="00601BEF" w:rsidRPr="001E3FA2">
        <w:rPr>
          <w:lang w:val="en-GB"/>
        </w:rPr>
        <w:t xml:space="preserve"> in Austria</w:t>
      </w:r>
      <w:r w:rsidRPr="001E3FA2">
        <w:rPr>
          <w:lang w:val="en-GB"/>
        </w:rPr>
        <w:t xml:space="preserve"> the argument was made that </w:t>
      </w:r>
      <w:r w:rsidR="00601BEF" w:rsidRPr="001E3FA2">
        <w:rPr>
          <w:lang w:val="en-GB"/>
        </w:rPr>
        <w:t xml:space="preserve">when most </w:t>
      </w:r>
      <w:r w:rsidR="001E3FA2" w:rsidRPr="001E3FA2">
        <w:rPr>
          <w:lang w:val="en-GB"/>
        </w:rPr>
        <w:t>electricity</w:t>
      </w:r>
      <w:r w:rsidR="00601BEF" w:rsidRPr="001E3FA2">
        <w:rPr>
          <w:lang w:val="en-GB"/>
        </w:rPr>
        <w:t xml:space="preserve"> is consume</w:t>
      </w:r>
      <w:r w:rsidRPr="001E3FA2">
        <w:rPr>
          <w:lang w:val="en-GB"/>
        </w:rPr>
        <w:t xml:space="preserve">d </w:t>
      </w:r>
      <w:r w:rsidR="00601BEF" w:rsidRPr="001E3FA2">
        <w:rPr>
          <w:lang w:val="en-GB"/>
        </w:rPr>
        <w:t xml:space="preserve">by the </w:t>
      </w:r>
      <w:r w:rsidR="00EF2832" w:rsidRPr="001E3FA2">
        <w:rPr>
          <w:lang w:val="en-GB"/>
        </w:rPr>
        <w:t>household itself</w:t>
      </w:r>
      <w:r w:rsidR="00601BEF" w:rsidRPr="001E3FA2">
        <w:rPr>
          <w:lang w:val="en-GB"/>
        </w:rPr>
        <w:t xml:space="preserve">, the operation of the </w:t>
      </w:r>
      <w:r w:rsidR="001E3FA2" w:rsidRPr="001E3FA2">
        <w:rPr>
          <w:lang w:val="en-GB"/>
        </w:rPr>
        <w:t>photovoltaic</w:t>
      </w:r>
      <w:r w:rsidR="00601BEF" w:rsidRPr="001E3FA2">
        <w:rPr>
          <w:lang w:val="en-GB"/>
        </w:rPr>
        <w:t xml:space="preserve"> system</w:t>
      </w:r>
      <w:r w:rsidRPr="001E3FA2">
        <w:rPr>
          <w:lang w:val="en-GB"/>
        </w:rPr>
        <w:t xml:space="preserve"> </w:t>
      </w:r>
      <w:r w:rsidR="001E3FA2">
        <w:rPr>
          <w:lang w:val="en-GB"/>
        </w:rPr>
        <w:t>i</w:t>
      </w:r>
      <w:r w:rsidR="001E3FA2" w:rsidRPr="001E3FA2">
        <w:rPr>
          <w:lang w:val="en-GB"/>
        </w:rPr>
        <w:t>s</w:t>
      </w:r>
      <w:r w:rsidR="00601BEF" w:rsidRPr="001E3FA2">
        <w:rPr>
          <w:lang w:val="en-GB"/>
        </w:rPr>
        <w:t xml:space="preserve"> not an</w:t>
      </w:r>
      <w:r w:rsidR="00EF2832" w:rsidRPr="001E3FA2">
        <w:rPr>
          <w:lang w:val="en-GB"/>
        </w:rPr>
        <w:t xml:space="preserve"> </w:t>
      </w:r>
      <w:r w:rsidR="001E3FA2" w:rsidRPr="001E3FA2">
        <w:rPr>
          <w:lang w:val="en-GB"/>
        </w:rPr>
        <w:t>enterprise</w:t>
      </w:r>
      <w:r w:rsidRPr="001E3FA2">
        <w:rPr>
          <w:lang w:val="en-GB"/>
        </w:rPr>
        <w:t xml:space="preserve">. The second argument </w:t>
      </w:r>
      <w:r w:rsidR="001E3FA2" w:rsidRPr="001E3FA2">
        <w:rPr>
          <w:lang w:val="en-GB"/>
        </w:rPr>
        <w:t>was</w:t>
      </w:r>
      <w:r w:rsidRPr="001E3FA2">
        <w:rPr>
          <w:lang w:val="en-GB"/>
        </w:rPr>
        <w:t xml:space="preserve"> that because the selling of </w:t>
      </w:r>
      <w:r w:rsidR="00EF2832" w:rsidRPr="001E3FA2">
        <w:rPr>
          <w:lang w:val="en-GB"/>
        </w:rPr>
        <w:t>photovoltaic energy is hardly viab</w:t>
      </w:r>
      <w:r w:rsidRPr="001E3FA2">
        <w:rPr>
          <w:lang w:val="en-GB"/>
        </w:rPr>
        <w:t>l</w:t>
      </w:r>
      <w:r w:rsidR="00EF2832" w:rsidRPr="001E3FA2">
        <w:rPr>
          <w:lang w:val="en-GB"/>
        </w:rPr>
        <w:t>e</w:t>
      </w:r>
      <w:r w:rsidRPr="001E3FA2">
        <w:rPr>
          <w:lang w:val="en-GB"/>
        </w:rPr>
        <w:t>, it</w:t>
      </w:r>
      <w:r w:rsidR="00EF2832" w:rsidRPr="001E3FA2">
        <w:rPr>
          <w:lang w:val="en-GB"/>
        </w:rPr>
        <w:t xml:space="preserve"> i</w:t>
      </w:r>
      <w:r w:rsidRPr="001E3FA2">
        <w:rPr>
          <w:lang w:val="en-GB"/>
        </w:rPr>
        <w:t>s like</w:t>
      </w:r>
      <w:r w:rsidR="00EF2832" w:rsidRPr="001E3FA2">
        <w:rPr>
          <w:lang w:val="en-GB"/>
        </w:rPr>
        <w:t xml:space="preserve"> a hobby and those kinds of </w:t>
      </w:r>
      <w:r w:rsidR="001E3FA2" w:rsidRPr="001E3FA2">
        <w:rPr>
          <w:lang w:val="en-GB"/>
        </w:rPr>
        <w:t>enterprises</w:t>
      </w:r>
      <w:r w:rsidR="00EF2832" w:rsidRPr="001E3FA2">
        <w:rPr>
          <w:lang w:val="en-GB"/>
        </w:rPr>
        <w:t xml:space="preserve"> do not get a tax exemption.</w:t>
      </w:r>
    </w:p>
    <w:p w:rsidR="00021C16" w:rsidRPr="004F2299" w:rsidRDefault="00EF2832" w:rsidP="00021C16">
      <w:r w:rsidRPr="001E3FA2">
        <w:rPr>
          <w:lang w:val="en-GB"/>
        </w:rPr>
        <w:t>The ECJ ruled that it does not</w:t>
      </w:r>
      <w:r w:rsidR="00021C16" w:rsidRPr="001E3FA2">
        <w:rPr>
          <w:lang w:val="en-GB"/>
        </w:rPr>
        <w:t xml:space="preserve"> matter how much is </w:t>
      </w:r>
      <w:r w:rsidRPr="001E3FA2">
        <w:rPr>
          <w:lang w:val="en-GB"/>
        </w:rPr>
        <w:t>self-</w:t>
      </w:r>
      <w:r w:rsidR="00021C16" w:rsidRPr="001E3FA2">
        <w:rPr>
          <w:lang w:val="en-GB"/>
        </w:rPr>
        <w:t xml:space="preserve">consumed. </w:t>
      </w:r>
      <w:r w:rsidRPr="001E3FA2">
        <w:rPr>
          <w:lang w:val="en-GB"/>
        </w:rPr>
        <w:t xml:space="preserve">When the </w:t>
      </w:r>
      <w:r w:rsidR="001E3FA2" w:rsidRPr="001E3FA2">
        <w:rPr>
          <w:lang w:val="en-GB"/>
        </w:rPr>
        <w:t>photovoltaic</w:t>
      </w:r>
      <w:r w:rsidRPr="001E3FA2">
        <w:rPr>
          <w:lang w:val="en-GB"/>
        </w:rPr>
        <w:t xml:space="preserve"> energy is sold with a sustainable aim to make profit</w:t>
      </w:r>
      <w:r w:rsidR="00AC391A" w:rsidRPr="001E3FA2">
        <w:rPr>
          <w:lang w:val="en-GB"/>
        </w:rPr>
        <w:t>,</w:t>
      </w:r>
      <w:r w:rsidRPr="001E3FA2">
        <w:rPr>
          <w:lang w:val="en-GB"/>
        </w:rPr>
        <w:t xml:space="preserve"> it is a business and VAT is not applicable </w:t>
      </w:r>
      <w:r w:rsidR="00AC391A" w:rsidRPr="001E3FA2">
        <w:rPr>
          <w:lang w:val="en-GB"/>
        </w:rPr>
        <w:t>to</w:t>
      </w:r>
      <w:r w:rsidRPr="001E3FA2">
        <w:rPr>
          <w:lang w:val="en-GB"/>
        </w:rPr>
        <w:t xml:space="preserve"> investment</w:t>
      </w:r>
      <w:r w:rsidR="00AC391A" w:rsidRPr="001E3FA2">
        <w:rPr>
          <w:lang w:val="en-GB"/>
        </w:rPr>
        <w:t xml:space="preserve"> costs</w:t>
      </w:r>
      <w:r w:rsidR="00B93CF7" w:rsidRPr="001E3FA2">
        <w:rPr>
          <w:lang w:val="en-GB"/>
        </w:rPr>
        <w:t xml:space="preserve"> </w:t>
      </w:r>
      <w:sdt>
        <w:sdtPr>
          <w:id w:val="11279136"/>
          <w:citation/>
        </w:sdtPr>
        <w:sdtContent>
          <w:r w:rsidR="00A008B9">
            <w:fldChar w:fldCharType="begin"/>
          </w:r>
          <w:r w:rsidR="001E1BD9">
            <w:instrText xml:space="preserve"> CITATION PRE13 \l 1061  </w:instrText>
          </w:r>
          <w:r w:rsidR="00A008B9">
            <w:fldChar w:fldCharType="separate"/>
          </w:r>
          <w:r w:rsidR="00796F8C" w:rsidRPr="00796F8C">
            <w:rPr>
              <w:noProof/>
            </w:rPr>
            <w:t>(Press Release No 75/13, 2013)</w:t>
          </w:r>
          <w:r w:rsidR="00A008B9">
            <w:rPr>
              <w:noProof/>
            </w:rPr>
            <w:fldChar w:fldCharType="end"/>
          </w:r>
        </w:sdtContent>
      </w:sdt>
      <w:r w:rsidRPr="004F2299">
        <w:t xml:space="preserve">. </w:t>
      </w:r>
    </w:p>
    <w:p w:rsidR="00AC391A" w:rsidRPr="001E3FA2" w:rsidRDefault="00021C16" w:rsidP="00021C16">
      <w:pPr>
        <w:rPr>
          <w:lang w:val="en-GB"/>
        </w:rPr>
      </w:pPr>
      <w:r w:rsidRPr="001E3FA2">
        <w:rPr>
          <w:lang w:val="en-GB"/>
        </w:rPr>
        <w:lastRenderedPageBreak/>
        <w:t xml:space="preserve">The </w:t>
      </w:r>
      <w:r w:rsidR="001E3FA2" w:rsidRPr="001E3FA2">
        <w:rPr>
          <w:lang w:val="en-GB"/>
        </w:rPr>
        <w:t>problems are</w:t>
      </w:r>
      <w:r w:rsidRPr="001E3FA2">
        <w:rPr>
          <w:lang w:val="en-GB"/>
        </w:rPr>
        <w:t xml:space="preserve"> how to deal</w:t>
      </w:r>
      <w:r w:rsidR="00EF2832" w:rsidRPr="001E3FA2">
        <w:rPr>
          <w:lang w:val="en-GB"/>
        </w:rPr>
        <w:t xml:space="preserve"> with household</w:t>
      </w:r>
      <w:r w:rsidR="00AC391A" w:rsidRPr="001E3FA2">
        <w:rPr>
          <w:lang w:val="en-GB"/>
        </w:rPr>
        <w:t>s</w:t>
      </w:r>
      <w:r w:rsidR="00EF2832" w:rsidRPr="001E3FA2">
        <w:rPr>
          <w:lang w:val="en-GB"/>
        </w:rPr>
        <w:t xml:space="preserve"> where not all </w:t>
      </w:r>
      <w:r w:rsidR="00AC391A" w:rsidRPr="001E3FA2">
        <w:rPr>
          <w:lang w:val="en-GB"/>
        </w:rPr>
        <w:t xml:space="preserve">of the generated </w:t>
      </w:r>
      <w:r w:rsidR="001E3FA2">
        <w:rPr>
          <w:lang w:val="en-GB"/>
        </w:rPr>
        <w:t>energy</w:t>
      </w:r>
      <w:r w:rsidR="00EF2832" w:rsidRPr="001E3FA2">
        <w:rPr>
          <w:lang w:val="en-GB"/>
        </w:rPr>
        <w:t xml:space="preserve"> is sold</w:t>
      </w:r>
      <w:r w:rsidR="00AC391A" w:rsidRPr="001E3FA2">
        <w:rPr>
          <w:lang w:val="en-GB"/>
        </w:rPr>
        <w:t>,</w:t>
      </w:r>
      <w:r w:rsidR="00EF2832" w:rsidRPr="001E3FA2">
        <w:rPr>
          <w:lang w:val="en-GB"/>
        </w:rPr>
        <w:t xml:space="preserve"> but when possible also used</w:t>
      </w:r>
      <w:r w:rsidRPr="001E3FA2">
        <w:rPr>
          <w:lang w:val="en-GB"/>
        </w:rPr>
        <w:t xml:space="preserve"> for self-consum</w:t>
      </w:r>
      <w:r w:rsidR="00EF2832" w:rsidRPr="001E3FA2">
        <w:rPr>
          <w:lang w:val="en-GB"/>
        </w:rPr>
        <w:t>p</w:t>
      </w:r>
      <w:r w:rsidRPr="001E3FA2">
        <w:rPr>
          <w:lang w:val="en-GB"/>
        </w:rPr>
        <w:t>tion</w:t>
      </w:r>
      <w:r w:rsidR="00AC391A" w:rsidRPr="001E3FA2">
        <w:rPr>
          <w:lang w:val="en-GB"/>
        </w:rPr>
        <w:t xml:space="preserve"> (excess feed-in). In this case, when the PV system is bought as an investment, VAT should be paid for energy that is consumed in the </w:t>
      </w:r>
      <w:r w:rsidR="001E3FA2" w:rsidRPr="001E3FA2">
        <w:rPr>
          <w:lang w:val="en-GB"/>
        </w:rPr>
        <w:t>household</w:t>
      </w:r>
      <w:r w:rsidR="00AC391A" w:rsidRPr="001E3FA2">
        <w:rPr>
          <w:lang w:val="en-GB"/>
        </w:rPr>
        <w:t xml:space="preserve">. As </w:t>
      </w:r>
      <w:r w:rsidR="001E3FA2" w:rsidRPr="001E3FA2">
        <w:rPr>
          <w:lang w:val="en-GB"/>
        </w:rPr>
        <w:t>calculation</w:t>
      </w:r>
      <w:r w:rsidR="00AC391A" w:rsidRPr="001E3FA2">
        <w:rPr>
          <w:lang w:val="en-GB"/>
        </w:rPr>
        <w:t xml:space="preserve"> price for the energy that is obtained from the PV system, the cost of </w:t>
      </w:r>
      <w:r w:rsidR="001E3FA2" w:rsidRPr="001E3FA2">
        <w:rPr>
          <w:lang w:val="en-GB"/>
        </w:rPr>
        <w:t>electricity</w:t>
      </w:r>
      <w:r w:rsidR="00AC391A" w:rsidRPr="001E3FA2">
        <w:rPr>
          <w:lang w:val="en-GB"/>
        </w:rPr>
        <w:t xml:space="preserve"> generation is taken</w:t>
      </w:r>
      <w:r w:rsidR="00CA4176" w:rsidRPr="001E3FA2">
        <w:rPr>
          <w:lang w:val="en-GB"/>
        </w:rPr>
        <w:t xml:space="preserve"> </w:t>
      </w:r>
      <w:sdt>
        <w:sdtPr>
          <w:id w:val="11279023"/>
          <w:citation/>
        </w:sdtPr>
        <w:sdtContent>
          <w:r w:rsidR="00A008B9">
            <w:fldChar w:fldCharType="begin"/>
          </w:r>
          <w:r w:rsidR="001E1BD9">
            <w:instrText xml:space="preserve"> CITATION BMF14 \l 1061  </w:instrText>
          </w:r>
          <w:r w:rsidR="00A008B9">
            <w:fldChar w:fldCharType="separate"/>
          </w:r>
          <w:r w:rsidR="00796F8C" w:rsidRPr="00796F8C">
            <w:rPr>
              <w:noProof/>
            </w:rPr>
            <w:t>(Bundesministerium für Finanzen, 2014)</w:t>
          </w:r>
          <w:r w:rsidR="00A008B9">
            <w:rPr>
              <w:noProof/>
            </w:rPr>
            <w:fldChar w:fldCharType="end"/>
          </w:r>
        </w:sdtContent>
      </w:sdt>
      <w:r w:rsidR="00AC391A" w:rsidRPr="004F2299">
        <w:t>.</w:t>
      </w:r>
    </w:p>
    <w:p w:rsidR="00AC391A" w:rsidRPr="001E3FA2" w:rsidRDefault="00397638" w:rsidP="00021C16">
      <w:pPr>
        <w:rPr>
          <w:lang w:val="en-GB"/>
        </w:rPr>
      </w:pPr>
      <w:r w:rsidRPr="001E3FA2">
        <w:rPr>
          <w:lang w:val="en-GB"/>
        </w:rPr>
        <w:t>For maximizing self-</w:t>
      </w:r>
      <w:r w:rsidR="001E3FA2" w:rsidRPr="001E3FA2">
        <w:rPr>
          <w:lang w:val="en-GB"/>
        </w:rPr>
        <w:t>consumption</w:t>
      </w:r>
      <w:r w:rsidRPr="001E3FA2">
        <w:rPr>
          <w:lang w:val="en-GB"/>
        </w:rPr>
        <w:t xml:space="preserve"> and using power accumulation this creates a conflict. </w:t>
      </w:r>
      <w:r w:rsidR="00AC391A" w:rsidRPr="001E3FA2">
        <w:rPr>
          <w:lang w:val="en-GB"/>
        </w:rPr>
        <w:t>All in all this measure reduces the financial burden form the investment, but makes self-consumption more expensive, because, like from energy purchased from the grid, VAT has to be paid.</w:t>
      </w:r>
      <w:r w:rsidRPr="001E3FA2">
        <w:rPr>
          <w:lang w:val="en-GB"/>
        </w:rPr>
        <w:t xml:space="preserve"> </w:t>
      </w:r>
      <w:r w:rsidR="00AC391A" w:rsidRPr="001E3FA2">
        <w:rPr>
          <w:lang w:val="en-GB"/>
        </w:rPr>
        <w:t xml:space="preserve">There is also a certain threshold that has to be kept in mind. When Self-consumption increases to the level, where only 10% of PV power is fed into the grid and sold, there is no indication anymore, that the operation of the PV system is a business. The VAT can retrospectively </w:t>
      </w:r>
      <w:r w:rsidRPr="001E3FA2">
        <w:rPr>
          <w:lang w:val="en-GB"/>
        </w:rPr>
        <w:t>be collected.</w:t>
      </w:r>
    </w:p>
    <w:p w:rsidR="00514BBC" w:rsidRDefault="001C5AB1" w:rsidP="00021C16">
      <w:pPr>
        <w:rPr>
          <w:lang w:val="en-GB"/>
        </w:rPr>
      </w:pPr>
      <w:r w:rsidRPr="001E3FA2">
        <w:rPr>
          <w:lang w:val="en-GB"/>
        </w:rPr>
        <w:t xml:space="preserve">Any income made from the operation of a PV plant is also subject to income tax. The income is the revenue made from selling PV energy minus the cost of the enterprise. But when the PV system is also used for producing energy for self-consumption, the operating and investment costs can only </w:t>
      </w:r>
      <w:r w:rsidR="001E3FA2" w:rsidRPr="001E3FA2">
        <w:rPr>
          <w:lang w:val="en-GB"/>
        </w:rPr>
        <w:t>partially</w:t>
      </w:r>
      <w:r w:rsidRPr="001E3FA2">
        <w:rPr>
          <w:lang w:val="en-GB"/>
        </w:rPr>
        <w:t xml:space="preserve"> be </w:t>
      </w:r>
      <w:r w:rsidR="001E3FA2" w:rsidRPr="001E3FA2">
        <w:rPr>
          <w:lang w:val="en-GB"/>
        </w:rPr>
        <w:t>assigning</w:t>
      </w:r>
      <w:r w:rsidRPr="001E3FA2">
        <w:rPr>
          <w:lang w:val="en-GB"/>
        </w:rPr>
        <w:t xml:space="preserve"> to the business of selling PV energy. Therefore the investment costs and the operation costs are </w:t>
      </w:r>
      <w:r w:rsidR="001E3FA2" w:rsidRPr="001E3FA2">
        <w:rPr>
          <w:lang w:val="en-GB"/>
        </w:rPr>
        <w:t>assigning</w:t>
      </w:r>
      <w:r w:rsidRPr="001E3FA2">
        <w:rPr>
          <w:lang w:val="en-GB"/>
        </w:rPr>
        <w:t xml:space="preserve"> to the business in proportion to the </w:t>
      </w:r>
      <w:r w:rsidR="001E3FA2" w:rsidRPr="001E3FA2">
        <w:rPr>
          <w:lang w:val="en-GB"/>
        </w:rPr>
        <w:t>energy</w:t>
      </w:r>
      <w:r w:rsidRPr="001E3FA2">
        <w:rPr>
          <w:lang w:val="en-GB"/>
        </w:rPr>
        <w:t xml:space="preserve"> </w:t>
      </w:r>
      <w:r w:rsidR="008B3E17">
        <w:rPr>
          <w:lang w:val="en-GB"/>
        </w:rPr>
        <w:t xml:space="preserve">that </w:t>
      </w:r>
      <w:r w:rsidRPr="001E3FA2">
        <w:rPr>
          <w:lang w:val="en-GB"/>
        </w:rPr>
        <w:t>what was fed-in.</w:t>
      </w:r>
      <w:r w:rsidR="00514BBC">
        <w:rPr>
          <w:lang w:val="en-GB"/>
        </w:rPr>
        <w:t xml:space="preserve"> </w:t>
      </w:r>
    </w:p>
    <w:p w:rsidR="008B3E17" w:rsidRPr="001E3FA2" w:rsidRDefault="008B3E17" w:rsidP="00021C16">
      <w:pPr>
        <w:rPr>
          <w:lang w:val="en-GB"/>
        </w:rPr>
      </w:pPr>
      <w:r>
        <w:rPr>
          <w:lang w:val="en-GB"/>
        </w:rPr>
        <w:t xml:space="preserve">All in all the transition from the time, where PV systems for household where not generally regarded as enterprise </w:t>
      </w:r>
      <w:r w:rsidR="00514BBC">
        <w:rPr>
          <w:lang w:val="en-GB"/>
        </w:rPr>
        <w:t xml:space="preserve">in Austria </w:t>
      </w:r>
      <w:r>
        <w:rPr>
          <w:lang w:val="en-GB"/>
        </w:rPr>
        <w:t xml:space="preserve">to a regulation where they can also operate as an enterprise has gone forward with a slow pace and there are a lot of open </w:t>
      </w:r>
      <w:r w:rsidR="005D5B16">
        <w:rPr>
          <w:lang w:val="en-GB"/>
        </w:rPr>
        <w:t>questions. This causes of course unsettledness private</w:t>
      </w:r>
      <w:r w:rsidR="00514BBC">
        <w:rPr>
          <w:lang w:val="en-GB"/>
        </w:rPr>
        <w:t xml:space="preserve"> household who would like to install profitable</w:t>
      </w:r>
      <w:r w:rsidR="005D5B16">
        <w:rPr>
          <w:lang w:val="en-GB"/>
        </w:rPr>
        <w:t xml:space="preserve"> PV systems. </w:t>
      </w:r>
    </w:p>
    <w:p w:rsidR="0026458C" w:rsidRPr="0026458C" w:rsidRDefault="0026458C" w:rsidP="0088548E">
      <w:r>
        <w:t>Problem with the PV in the Czech Republic is that you need a licence to sell your extra energy. Most of the companies instaling PVs deal with the administration connected to the licence for you. It is part of the investment cost. This licence is similar to bussines licence which means that the person with the licence has to contribute to social and health security system and to pay taxes for the energy you sold. There is also no claim on unemployment compensation after you lose your job because you are considered as an entrepreneur. The other thing is that this licence can not be interrupted to get unemployment compensation, it can only be terminated. This is strange because regural entrepreneur can interrupt his licence as he sees fit.</w:t>
      </w:r>
    </w:p>
    <w:p w:rsidR="00B22094" w:rsidRDefault="0079742E" w:rsidP="00B22094">
      <w:pPr>
        <w:pStyle w:val="berschrift2"/>
        <w:rPr>
          <w:lang w:val="en-GB"/>
        </w:rPr>
      </w:pPr>
      <w:bookmarkStart w:id="10" w:name="_Toc422916324"/>
      <w:r w:rsidRPr="001E3FA2">
        <w:rPr>
          <w:lang w:val="en-GB"/>
        </w:rPr>
        <w:t>Grid</w:t>
      </w:r>
      <w:r w:rsidR="00021C16" w:rsidRPr="001E3FA2">
        <w:rPr>
          <w:lang w:val="en-GB"/>
        </w:rPr>
        <w:t xml:space="preserve"> </w:t>
      </w:r>
      <w:r w:rsidRPr="001E3FA2">
        <w:rPr>
          <w:lang w:val="en-GB"/>
        </w:rPr>
        <w:t>Connection</w:t>
      </w:r>
      <w:bookmarkEnd w:id="10"/>
    </w:p>
    <w:p w:rsidR="00C424A2" w:rsidRPr="00C424A2" w:rsidRDefault="00C424A2" w:rsidP="00C424A2">
      <w:r>
        <w:t xml:space="preserve">In Austria, the </w:t>
      </w:r>
      <w:r>
        <w:rPr>
          <w:lang w:val="en-GB"/>
        </w:rPr>
        <w:t>m</w:t>
      </w:r>
      <w:r w:rsidRPr="001E3FA2">
        <w:rPr>
          <w:lang w:val="en-GB"/>
        </w:rPr>
        <w:t>ontage</w:t>
      </w:r>
      <w:r>
        <w:rPr>
          <w:lang w:val="en-GB"/>
        </w:rPr>
        <w:t xml:space="preserve"> of the PV</w:t>
      </w:r>
      <w:r w:rsidRPr="001E3FA2">
        <w:rPr>
          <w:lang w:val="en-GB"/>
        </w:rPr>
        <w:t xml:space="preserve"> has to be done by certified professionals in order that the PV plant gets recognized as a green electricity plant („Ökostromanlage“), which is not only important to qualify for support, but can also be a prerequisite for a grid connection.  </w:t>
      </w:r>
    </w:p>
    <w:p w:rsidR="00BF145B" w:rsidRPr="001E3FA2" w:rsidRDefault="00C424A2" w:rsidP="00021C16">
      <w:pPr>
        <w:rPr>
          <w:lang w:val="en-GB"/>
        </w:rPr>
      </w:pPr>
      <w:r>
        <w:rPr>
          <w:lang w:val="en-GB"/>
        </w:rPr>
        <w:t xml:space="preserve">Additionally, </w:t>
      </w:r>
      <w:r w:rsidR="00021C16" w:rsidRPr="001E3FA2">
        <w:rPr>
          <w:lang w:val="en-GB"/>
        </w:rPr>
        <w:t>the</w:t>
      </w:r>
      <w:r w:rsidR="00B22094" w:rsidRPr="001E3FA2">
        <w:rPr>
          <w:lang w:val="en-GB"/>
        </w:rPr>
        <w:t xml:space="preserve"> </w:t>
      </w:r>
      <w:r w:rsidR="001E3FA2" w:rsidRPr="001E3FA2">
        <w:rPr>
          <w:lang w:val="en-GB"/>
        </w:rPr>
        <w:t>possibility feed</w:t>
      </w:r>
      <w:r w:rsidR="00BF145B" w:rsidRPr="001E3FA2">
        <w:rPr>
          <w:lang w:val="en-GB"/>
        </w:rPr>
        <w:t xml:space="preserve"> in (</w:t>
      </w:r>
      <w:r w:rsidR="001E3FA2" w:rsidRPr="001E3FA2">
        <w:rPr>
          <w:lang w:val="en-GB"/>
        </w:rPr>
        <w:t>partially</w:t>
      </w:r>
      <w:r w:rsidR="00021C16" w:rsidRPr="001E3FA2">
        <w:rPr>
          <w:lang w:val="en-GB"/>
        </w:rPr>
        <w:t xml:space="preserve"> or fully)</w:t>
      </w:r>
      <w:r w:rsidR="00BF145B" w:rsidRPr="001E3FA2">
        <w:rPr>
          <w:lang w:val="en-GB"/>
        </w:rPr>
        <w:t xml:space="preserve"> the PV energy generated an already installed grid connection is in most cases not sufficient anymore and the connection must be upgraded. This depends on the current workload of the gird in that particular area and therefore has to be considered </w:t>
      </w:r>
      <w:r w:rsidR="001E3FA2" w:rsidRPr="001E3FA2">
        <w:rPr>
          <w:lang w:val="en-GB"/>
        </w:rPr>
        <w:t>independently</w:t>
      </w:r>
      <w:r w:rsidR="00BF145B" w:rsidRPr="001E3FA2">
        <w:rPr>
          <w:lang w:val="en-GB"/>
        </w:rPr>
        <w:t xml:space="preserve"> for every household.</w:t>
      </w:r>
    </w:p>
    <w:p w:rsidR="001C6CF4" w:rsidRPr="001E3FA2" w:rsidRDefault="00BF145B" w:rsidP="00021C16">
      <w:pPr>
        <w:rPr>
          <w:lang w:val="en-GB"/>
        </w:rPr>
      </w:pPr>
      <w:r w:rsidRPr="001E3FA2">
        <w:rPr>
          <w:lang w:val="en-GB"/>
        </w:rPr>
        <w:lastRenderedPageBreak/>
        <w:t xml:space="preserve">The </w:t>
      </w:r>
      <w:r w:rsidR="001E3FA2" w:rsidRPr="001E3FA2">
        <w:rPr>
          <w:lang w:val="en-GB"/>
        </w:rPr>
        <w:t>grid</w:t>
      </w:r>
      <w:r w:rsidRPr="001E3FA2">
        <w:rPr>
          <w:lang w:val="en-GB"/>
        </w:rPr>
        <w:t xml:space="preserve"> operator is responsible for </w:t>
      </w:r>
      <w:r w:rsidR="001E3FA2" w:rsidRPr="001E3FA2">
        <w:rPr>
          <w:lang w:val="en-GB"/>
        </w:rPr>
        <w:t>an</w:t>
      </w:r>
      <w:r w:rsidRPr="001E3FA2">
        <w:rPr>
          <w:lang w:val="en-GB"/>
        </w:rPr>
        <w:t xml:space="preserve"> efficiently working grid. He is allowed to charge the PV operator for any upgrades that have to be undertaken. But because the grid operator is monopolistic a regulatory body needs to overlook that the fees are fair. In Austria this is done by the E-Control.</w:t>
      </w:r>
    </w:p>
    <w:p w:rsidR="00021C16" w:rsidRPr="001E3FA2" w:rsidRDefault="001C6CF4" w:rsidP="00021C16">
      <w:pPr>
        <w:rPr>
          <w:lang w:val="en-GB"/>
        </w:rPr>
      </w:pPr>
      <w:r w:rsidRPr="001E3FA2">
        <w:rPr>
          <w:lang w:val="en-GB"/>
        </w:rPr>
        <w:t xml:space="preserve">If more and more households want to generate PV energy and feed it in, the burden on the gird rises and the </w:t>
      </w:r>
      <w:r w:rsidR="001E3FA2" w:rsidRPr="001E3FA2">
        <w:rPr>
          <w:lang w:val="en-GB"/>
        </w:rPr>
        <w:t>grid</w:t>
      </w:r>
      <w:r w:rsidRPr="001E3FA2">
        <w:rPr>
          <w:lang w:val="en-GB"/>
        </w:rPr>
        <w:t xml:space="preserve"> operator may therefore not want to process the upgrade. But any delay in installing the grid connection and for the household not having the </w:t>
      </w:r>
      <w:r w:rsidR="001E3FA2" w:rsidRPr="001E3FA2">
        <w:rPr>
          <w:lang w:val="en-GB"/>
        </w:rPr>
        <w:t>possibility</w:t>
      </w:r>
      <w:r w:rsidRPr="001E3FA2">
        <w:rPr>
          <w:lang w:val="en-GB"/>
        </w:rPr>
        <w:t xml:space="preserve"> to feed-in are losses and will reduce the </w:t>
      </w:r>
      <w:r w:rsidR="001E3FA2" w:rsidRPr="001E3FA2">
        <w:rPr>
          <w:lang w:val="en-GB"/>
        </w:rPr>
        <w:t>viability</w:t>
      </w:r>
      <w:r w:rsidRPr="001E3FA2">
        <w:rPr>
          <w:lang w:val="en-GB"/>
        </w:rPr>
        <w:t xml:space="preserve"> of the PV installation.</w:t>
      </w:r>
      <w:r w:rsidR="00484B40">
        <w:rPr>
          <w:lang w:val="en-GB"/>
        </w:rPr>
        <w:t xml:space="preserve"> </w:t>
      </w:r>
    </w:p>
    <w:p w:rsidR="00C424A2" w:rsidRDefault="001C6CF4" w:rsidP="0088548E">
      <w:r w:rsidRPr="001E3FA2">
        <w:rPr>
          <w:lang w:val="en-GB"/>
        </w:rPr>
        <w:t xml:space="preserve">An </w:t>
      </w:r>
      <w:r w:rsidR="004F36C9" w:rsidRPr="001E3FA2">
        <w:rPr>
          <w:lang w:val="en-GB"/>
        </w:rPr>
        <w:t xml:space="preserve">example </w:t>
      </w:r>
      <w:r w:rsidRPr="001E3FA2">
        <w:rPr>
          <w:lang w:val="en-GB"/>
        </w:rPr>
        <w:t>list how much the costs can be</w:t>
      </w:r>
      <w:r w:rsidR="004A78F4" w:rsidRPr="001E3FA2">
        <w:rPr>
          <w:lang w:val="en-GB"/>
        </w:rPr>
        <w:t xml:space="preserve"> </w:t>
      </w:r>
      <w:r w:rsidR="00484B40">
        <w:rPr>
          <w:lang w:val="en-GB"/>
        </w:rPr>
        <w:t>in a municipality in Au</w:t>
      </w:r>
      <w:r w:rsidR="005E0B06">
        <w:rPr>
          <w:lang w:val="en-GB"/>
        </w:rPr>
        <w:t>stria see</w:t>
      </w:r>
      <w:sdt>
        <w:sdtPr>
          <w:rPr>
            <w:lang w:val="en-GB"/>
          </w:rPr>
          <w:id w:val="11279294"/>
          <w:citation/>
        </w:sdtPr>
        <w:sdtEndPr>
          <w:rPr>
            <w:lang w:val="cs-CZ"/>
          </w:rPr>
        </w:sdtEndPr>
        <w:sdtContent>
          <w:r w:rsidR="00A008B9">
            <w:fldChar w:fldCharType="begin"/>
          </w:r>
          <w:r w:rsidR="001E1BD9">
            <w:instrText xml:space="preserve"> CITATION VoralbergNetz \l 1061  </w:instrText>
          </w:r>
          <w:r w:rsidR="00A008B9">
            <w:fldChar w:fldCharType="separate"/>
          </w:r>
          <w:r w:rsidR="00796F8C">
            <w:rPr>
              <w:noProof/>
            </w:rPr>
            <w:t xml:space="preserve"> </w:t>
          </w:r>
          <w:r w:rsidR="00796F8C" w:rsidRPr="00796F8C">
            <w:rPr>
              <w:noProof/>
            </w:rPr>
            <w:t>(Voralberger Energienetze GmbH, 2015)</w:t>
          </w:r>
          <w:r w:rsidR="00A008B9">
            <w:rPr>
              <w:noProof/>
            </w:rPr>
            <w:fldChar w:fldCharType="end"/>
          </w:r>
        </w:sdtContent>
      </w:sdt>
      <w:r w:rsidR="005E0B06" w:rsidRPr="004F2299">
        <w:t>.</w:t>
      </w:r>
      <w:r w:rsidR="00C424A2">
        <w:t xml:space="preserve"> </w:t>
      </w:r>
    </w:p>
    <w:p w:rsidR="00021C16" w:rsidRPr="001E3FA2" w:rsidRDefault="00021C16" w:rsidP="00021C16">
      <w:pPr>
        <w:pStyle w:val="berschrift2"/>
        <w:rPr>
          <w:lang w:val="en-GB"/>
        </w:rPr>
      </w:pPr>
      <w:bookmarkStart w:id="11" w:name="_Toc422916325"/>
      <w:r w:rsidRPr="001E3FA2">
        <w:rPr>
          <w:lang w:val="en-GB"/>
        </w:rPr>
        <w:t>Stor</w:t>
      </w:r>
      <w:r w:rsidR="00CA4176" w:rsidRPr="001E3FA2">
        <w:rPr>
          <w:lang w:val="en-GB"/>
        </w:rPr>
        <w:t>ing E</w:t>
      </w:r>
      <w:r w:rsidR="00A96889" w:rsidRPr="001E3FA2">
        <w:rPr>
          <w:lang w:val="en-GB"/>
        </w:rPr>
        <w:t>nergy</w:t>
      </w:r>
      <w:bookmarkEnd w:id="11"/>
    </w:p>
    <w:p w:rsidR="00021C16" w:rsidRPr="001E3FA2" w:rsidRDefault="004F36C9" w:rsidP="00021C16">
      <w:pPr>
        <w:rPr>
          <w:lang w:val="en-GB"/>
        </w:rPr>
      </w:pPr>
      <w:r w:rsidRPr="001E3FA2">
        <w:rPr>
          <w:lang w:val="en-GB"/>
        </w:rPr>
        <w:t>With cost of PV generation re</w:t>
      </w:r>
      <w:r w:rsidR="00021C16" w:rsidRPr="001E3FA2">
        <w:rPr>
          <w:lang w:val="en-GB"/>
        </w:rPr>
        <w:t>aching grid-par</w:t>
      </w:r>
      <w:r w:rsidRPr="001E3FA2">
        <w:rPr>
          <w:lang w:val="en-GB"/>
        </w:rPr>
        <w:t xml:space="preserve">ity and decreasing feed-in </w:t>
      </w:r>
      <w:r w:rsidR="00484B40" w:rsidRPr="001E3FA2">
        <w:rPr>
          <w:lang w:val="en-GB"/>
        </w:rPr>
        <w:t>tariffs</w:t>
      </w:r>
      <w:r w:rsidR="00021C16" w:rsidRPr="001E3FA2">
        <w:rPr>
          <w:lang w:val="en-GB"/>
        </w:rPr>
        <w:t>, self-consumption be</w:t>
      </w:r>
      <w:r w:rsidRPr="001E3FA2">
        <w:rPr>
          <w:lang w:val="en-GB"/>
        </w:rPr>
        <w:t xml:space="preserve">comes more and more beneficial. </w:t>
      </w:r>
    </w:p>
    <w:p w:rsidR="003562A0" w:rsidRPr="001E3FA2" w:rsidRDefault="00021C16" w:rsidP="00021C16">
      <w:pPr>
        <w:rPr>
          <w:lang w:val="en-GB"/>
        </w:rPr>
      </w:pPr>
      <w:r w:rsidRPr="001E3FA2">
        <w:rPr>
          <w:lang w:val="en-GB"/>
        </w:rPr>
        <w:t xml:space="preserve">Two factors can increase self-consumption. Firstly, to let load times </w:t>
      </w:r>
      <w:r w:rsidR="004F36C9" w:rsidRPr="001E3FA2">
        <w:rPr>
          <w:lang w:val="en-GB"/>
        </w:rPr>
        <w:t xml:space="preserve">coincide </w:t>
      </w:r>
      <w:r w:rsidRPr="001E3FA2">
        <w:rPr>
          <w:lang w:val="en-GB"/>
        </w:rPr>
        <w:t xml:space="preserve">with </w:t>
      </w:r>
      <w:r w:rsidR="004F36C9" w:rsidRPr="001E3FA2">
        <w:rPr>
          <w:lang w:val="en-GB"/>
        </w:rPr>
        <w:t xml:space="preserve">PV power supply </w:t>
      </w:r>
      <w:r w:rsidRPr="001E3FA2">
        <w:rPr>
          <w:lang w:val="en-GB"/>
        </w:rPr>
        <w:t>time</w:t>
      </w:r>
      <w:r w:rsidR="00484B40">
        <w:rPr>
          <w:lang w:val="en-GB"/>
        </w:rPr>
        <w:t xml:space="preserve"> (demand management)</w:t>
      </w:r>
      <w:r w:rsidRPr="001E3FA2">
        <w:rPr>
          <w:lang w:val="en-GB"/>
        </w:rPr>
        <w:t xml:space="preserve">. This </w:t>
      </w:r>
      <w:r w:rsidR="004F36C9" w:rsidRPr="001E3FA2">
        <w:rPr>
          <w:lang w:val="en-GB"/>
        </w:rPr>
        <w:t>can be achieved by changing the consumption behaviour</w:t>
      </w:r>
      <w:r w:rsidRPr="001E3FA2">
        <w:rPr>
          <w:lang w:val="en-GB"/>
        </w:rPr>
        <w:t>, for</w:t>
      </w:r>
      <w:r w:rsidR="004F36C9" w:rsidRPr="001E3FA2">
        <w:rPr>
          <w:lang w:val="en-GB"/>
        </w:rPr>
        <w:t xml:space="preserve"> example making </w:t>
      </w:r>
      <w:r w:rsidR="001E3FA2" w:rsidRPr="001E3FA2">
        <w:rPr>
          <w:lang w:val="en-GB"/>
        </w:rPr>
        <w:t>household</w:t>
      </w:r>
      <w:r w:rsidR="004F36C9" w:rsidRPr="001E3FA2">
        <w:rPr>
          <w:lang w:val="en-GB"/>
        </w:rPr>
        <w:t xml:space="preserve"> works with high power usage</w:t>
      </w:r>
      <w:r w:rsidRPr="001E3FA2">
        <w:rPr>
          <w:lang w:val="en-GB"/>
        </w:rPr>
        <w:t xml:space="preserve"> when a high gain </w:t>
      </w:r>
      <w:r w:rsidR="001E3FA2" w:rsidRPr="001E3FA2">
        <w:rPr>
          <w:lang w:val="en-GB"/>
        </w:rPr>
        <w:t>from</w:t>
      </w:r>
      <w:r w:rsidRPr="001E3FA2">
        <w:rPr>
          <w:lang w:val="en-GB"/>
        </w:rPr>
        <w:t xml:space="preserve"> </w:t>
      </w:r>
      <w:r w:rsidR="004F36C9" w:rsidRPr="001E3FA2">
        <w:rPr>
          <w:lang w:val="en-GB"/>
        </w:rPr>
        <w:t xml:space="preserve">the </w:t>
      </w:r>
      <w:r w:rsidRPr="001E3FA2">
        <w:rPr>
          <w:lang w:val="en-GB"/>
        </w:rPr>
        <w:t xml:space="preserve">PV </w:t>
      </w:r>
      <w:r w:rsidR="004F36C9" w:rsidRPr="001E3FA2">
        <w:rPr>
          <w:lang w:val="en-GB"/>
        </w:rPr>
        <w:t>system is expected. This can also be</w:t>
      </w:r>
      <w:r w:rsidRPr="001E3FA2">
        <w:rPr>
          <w:lang w:val="en-GB"/>
        </w:rPr>
        <w:t xml:space="preserve"> automated with</w:t>
      </w:r>
      <w:r w:rsidR="004F36C9" w:rsidRPr="001E3FA2">
        <w:rPr>
          <w:lang w:val="en-GB"/>
        </w:rPr>
        <w:t xml:space="preserve"> smart home systems</w:t>
      </w:r>
      <w:r w:rsidRPr="001E3FA2">
        <w:rPr>
          <w:lang w:val="en-GB"/>
        </w:rPr>
        <w:t>. Secondly power</w:t>
      </w:r>
      <w:r w:rsidR="004F36C9" w:rsidRPr="001E3FA2">
        <w:rPr>
          <w:lang w:val="en-GB"/>
        </w:rPr>
        <w:t xml:space="preserve"> accumulation</w:t>
      </w:r>
      <w:r w:rsidRPr="001E3FA2">
        <w:rPr>
          <w:lang w:val="en-GB"/>
        </w:rPr>
        <w:t xml:space="preserve"> is a solution. When more power is produced </w:t>
      </w:r>
      <w:r w:rsidR="001E3FA2" w:rsidRPr="001E3FA2">
        <w:rPr>
          <w:lang w:val="en-GB"/>
        </w:rPr>
        <w:t>by</w:t>
      </w:r>
      <w:r w:rsidRPr="001E3FA2">
        <w:rPr>
          <w:lang w:val="en-GB"/>
        </w:rPr>
        <w:t xml:space="preserve"> the PV system then consumed by the user, the surplus power </w:t>
      </w:r>
      <w:r w:rsidR="001E3FA2" w:rsidRPr="001E3FA2">
        <w:rPr>
          <w:lang w:val="en-GB"/>
        </w:rPr>
        <w:t>will be</w:t>
      </w:r>
      <w:r w:rsidR="004F36C9" w:rsidRPr="001E3FA2">
        <w:rPr>
          <w:lang w:val="en-GB"/>
        </w:rPr>
        <w:t xml:space="preserve"> </w:t>
      </w:r>
      <w:r w:rsidR="00F34E00" w:rsidRPr="001E3FA2">
        <w:rPr>
          <w:lang w:val="en-GB"/>
        </w:rPr>
        <w:t>used to charge a battery.</w:t>
      </w:r>
      <w:r w:rsidRPr="001E3FA2">
        <w:rPr>
          <w:lang w:val="en-GB"/>
        </w:rPr>
        <w:t xml:space="preserve"> When PV energy is not</w:t>
      </w:r>
      <w:r w:rsidR="00F34E00" w:rsidRPr="001E3FA2">
        <w:rPr>
          <w:lang w:val="en-GB"/>
        </w:rPr>
        <w:t xml:space="preserve"> enough to power the house, ins</w:t>
      </w:r>
      <w:r w:rsidRPr="001E3FA2">
        <w:rPr>
          <w:lang w:val="en-GB"/>
        </w:rPr>
        <w:t>tead of purchasing energy form the grid, the energy form the battery can be used.</w:t>
      </w:r>
      <w:r w:rsidR="00F34E00" w:rsidRPr="001E3FA2">
        <w:rPr>
          <w:lang w:val="en-GB"/>
        </w:rPr>
        <w:t xml:space="preserve"> </w:t>
      </w:r>
    </w:p>
    <w:p w:rsidR="003D1DEF" w:rsidRPr="001E3FA2" w:rsidRDefault="00F34E00" w:rsidP="00021C16">
      <w:pPr>
        <w:rPr>
          <w:lang w:val="en-GB"/>
        </w:rPr>
      </w:pPr>
      <w:r w:rsidRPr="001E3FA2">
        <w:rPr>
          <w:lang w:val="en-GB"/>
        </w:rPr>
        <w:t>Now the optimal design</w:t>
      </w:r>
      <w:r w:rsidR="00021C16" w:rsidRPr="001E3FA2">
        <w:rPr>
          <w:lang w:val="en-GB"/>
        </w:rPr>
        <w:t xml:space="preserve"> of </w:t>
      </w:r>
      <w:r w:rsidRPr="001E3FA2">
        <w:rPr>
          <w:lang w:val="en-GB"/>
        </w:rPr>
        <w:t xml:space="preserve">the storage capacity is an </w:t>
      </w:r>
      <w:r w:rsidR="00021C16" w:rsidRPr="001E3FA2">
        <w:rPr>
          <w:lang w:val="en-GB"/>
        </w:rPr>
        <w:t xml:space="preserve">important </w:t>
      </w:r>
      <w:r w:rsidRPr="001E3FA2">
        <w:rPr>
          <w:lang w:val="en-GB"/>
        </w:rPr>
        <w:t>but difficult question</w:t>
      </w:r>
      <w:r w:rsidR="003562A0" w:rsidRPr="001E3FA2">
        <w:rPr>
          <w:lang w:val="en-GB"/>
        </w:rPr>
        <w:t xml:space="preserve">. The larger the storage the more it increases self-consumption, but also makes the PV installation more expensive.  </w:t>
      </w:r>
      <w:r w:rsidRPr="001E3FA2">
        <w:rPr>
          <w:lang w:val="en-GB"/>
        </w:rPr>
        <w:t xml:space="preserve">Should the capacity be large enough that </w:t>
      </w:r>
      <w:r w:rsidR="003D1DEF" w:rsidRPr="001E3FA2">
        <w:rPr>
          <w:lang w:val="en-GB"/>
        </w:rPr>
        <w:t>any excess energy generated from the PV system will be stored</w:t>
      </w:r>
      <w:r w:rsidR="003562A0" w:rsidRPr="001E3FA2">
        <w:rPr>
          <w:lang w:val="en-GB"/>
        </w:rPr>
        <w:t xml:space="preserve"> and used for later consumption?</w:t>
      </w:r>
      <w:r w:rsidR="003D1DEF" w:rsidRPr="001E3FA2">
        <w:rPr>
          <w:lang w:val="en-GB"/>
        </w:rPr>
        <w:t xml:space="preserve"> Then the household has 100% self-consumption and saves the same amount in purchasing from the grid and also has the option not to install the PV system to the grid. When the PV installation is large enough to provide any energy needed by the household the household becomes </w:t>
      </w:r>
      <w:r w:rsidR="001E3FA2" w:rsidRPr="001E3FA2">
        <w:rPr>
          <w:lang w:val="en-GB"/>
        </w:rPr>
        <w:t>autofocus</w:t>
      </w:r>
      <w:r w:rsidR="003D1DEF" w:rsidRPr="001E3FA2">
        <w:rPr>
          <w:lang w:val="en-GB"/>
        </w:rPr>
        <w:t xml:space="preserve">, which maybe also be </w:t>
      </w:r>
      <w:r w:rsidR="001E3FA2" w:rsidRPr="001E3FA2">
        <w:rPr>
          <w:lang w:val="en-GB"/>
        </w:rPr>
        <w:t>favourable</w:t>
      </w:r>
      <w:r w:rsidR="003D1DEF" w:rsidRPr="001E3FA2">
        <w:rPr>
          <w:lang w:val="en-GB"/>
        </w:rPr>
        <w:t xml:space="preserve">. But then the battery system must </w:t>
      </w:r>
      <w:r w:rsidR="001E3FA2" w:rsidRPr="001E3FA2">
        <w:rPr>
          <w:lang w:val="en-GB"/>
        </w:rPr>
        <w:t>additionally</w:t>
      </w:r>
      <w:r w:rsidR="003D1DEF" w:rsidRPr="001E3FA2">
        <w:rPr>
          <w:lang w:val="en-GB"/>
        </w:rPr>
        <w:t xml:space="preserve"> provide enough power output.</w:t>
      </w:r>
    </w:p>
    <w:p w:rsidR="003562A0" w:rsidRPr="001E3FA2" w:rsidRDefault="003562A0" w:rsidP="003562A0">
      <w:pPr>
        <w:rPr>
          <w:lang w:val="en-GB"/>
        </w:rPr>
      </w:pPr>
      <w:r w:rsidRPr="001E3FA2">
        <w:rPr>
          <w:lang w:val="en-GB"/>
        </w:rPr>
        <w:t xml:space="preserve">In total those additional features add to the cost of the PV system and even when self-consumption </w:t>
      </w:r>
      <w:r w:rsidR="0010412C">
        <w:rPr>
          <w:lang w:val="en-GB"/>
        </w:rPr>
        <w:t xml:space="preserve">in combination with storage </w:t>
      </w:r>
      <w:r w:rsidRPr="001E3FA2">
        <w:rPr>
          <w:lang w:val="en-GB"/>
        </w:rPr>
        <w:t>is viable compared to purchasing from the gird, it can still reduce the long-ter</w:t>
      </w:r>
      <w:r w:rsidR="00986026" w:rsidRPr="001E3FA2">
        <w:rPr>
          <w:lang w:val="en-GB"/>
        </w:rPr>
        <w:t xml:space="preserve">m </w:t>
      </w:r>
      <w:r w:rsidR="001E3FA2" w:rsidRPr="001E3FA2">
        <w:rPr>
          <w:lang w:val="en-GB"/>
        </w:rPr>
        <w:t>viability</w:t>
      </w:r>
      <w:r w:rsidR="00986026" w:rsidRPr="001E3FA2">
        <w:rPr>
          <w:lang w:val="en-GB"/>
        </w:rPr>
        <w:t xml:space="preserve"> of the installation.</w:t>
      </w:r>
    </w:p>
    <w:p w:rsidR="0010412C" w:rsidRDefault="003562A0" w:rsidP="00021C16">
      <w:pPr>
        <w:rPr>
          <w:lang w:val="en-GB"/>
        </w:rPr>
      </w:pPr>
      <w:r w:rsidRPr="001E3FA2">
        <w:rPr>
          <w:lang w:val="en-GB"/>
        </w:rPr>
        <w:t xml:space="preserve">Therefore, when </w:t>
      </w:r>
      <w:r w:rsidR="001E3FA2" w:rsidRPr="001E3FA2">
        <w:rPr>
          <w:lang w:val="en-GB"/>
        </w:rPr>
        <w:t>calculating</w:t>
      </w:r>
      <w:r w:rsidRPr="001E3FA2">
        <w:rPr>
          <w:lang w:val="en-GB"/>
        </w:rPr>
        <w:t xml:space="preserve"> if power accumulation pays off, following has to be considered: The price of </w:t>
      </w:r>
      <w:r w:rsidR="00D01D7A" w:rsidRPr="001E3FA2">
        <w:rPr>
          <w:lang w:val="en-GB"/>
        </w:rPr>
        <w:t>electricity</w:t>
      </w:r>
      <w:r w:rsidRPr="001E3FA2">
        <w:rPr>
          <w:lang w:val="en-GB"/>
        </w:rPr>
        <w:t xml:space="preserve"> from the grid, the </w:t>
      </w:r>
      <w:r w:rsidR="00D01D7A" w:rsidRPr="001E3FA2">
        <w:rPr>
          <w:lang w:val="en-GB"/>
        </w:rPr>
        <w:t>income from selling PV energy and the cost of electricity from the storage.</w:t>
      </w:r>
      <w:r w:rsidR="003A34C3" w:rsidRPr="001E3FA2">
        <w:rPr>
          <w:lang w:val="en-GB"/>
        </w:rPr>
        <w:t xml:space="preserve"> </w:t>
      </w:r>
      <w:r w:rsidR="00D01D7A" w:rsidRPr="001E3FA2">
        <w:rPr>
          <w:lang w:val="en-GB"/>
        </w:rPr>
        <w:t>The cost of electricity from the storage is the cost of generating electricity with the standalone PV system plus</w:t>
      </w:r>
      <w:r w:rsidR="003A34C3" w:rsidRPr="001E3FA2">
        <w:rPr>
          <w:lang w:val="en-GB"/>
        </w:rPr>
        <w:t xml:space="preserve"> the costs that arise from the storage system</w:t>
      </w:r>
      <w:r w:rsidR="009F7B4C" w:rsidRPr="001E3FA2">
        <w:rPr>
          <w:lang w:val="en-GB"/>
        </w:rPr>
        <w:t xml:space="preserve"> </w:t>
      </w:r>
      <w:sdt>
        <w:sdtPr>
          <w:id w:val="11279027"/>
          <w:citation/>
        </w:sdtPr>
        <w:sdtContent>
          <w:r w:rsidR="00A008B9" w:rsidRPr="00A008B9">
            <w:fldChar w:fldCharType="begin"/>
          </w:r>
          <w:r w:rsidR="001E1BD9">
            <w:instrText xml:space="preserve"> CITATION Piy08 \l 1061  </w:instrText>
          </w:r>
          <w:r w:rsidR="00A008B9" w:rsidRPr="00A008B9">
            <w:fldChar w:fldCharType="separate"/>
          </w:r>
          <w:r w:rsidR="00796F8C" w:rsidRPr="00796F8C">
            <w:rPr>
              <w:lang w:val="et-EE"/>
            </w:rPr>
            <w:t>(Poonpun &amp; Jewell, 2008)</w:t>
          </w:r>
          <w:r w:rsidR="00A008B9">
            <w:rPr>
              <w:lang w:val="et-EE"/>
            </w:rPr>
            <w:fldChar w:fldCharType="end"/>
          </w:r>
        </w:sdtContent>
      </w:sdt>
      <w:r w:rsidR="003A34C3" w:rsidRPr="00796F8C">
        <w:t>.</w:t>
      </w:r>
    </w:p>
    <w:p w:rsidR="0010412C" w:rsidRPr="001E3FA2" w:rsidRDefault="0010412C" w:rsidP="00021C16">
      <w:pPr>
        <w:rPr>
          <w:lang w:val="en-GB"/>
        </w:rPr>
      </w:pPr>
      <w:r>
        <w:rPr>
          <w:lang w:val="en-GB"/>
        </w:rPr>
        <w:t xml:space="preserve">Finally, for a depth analysis of the viability of PV Systems with Battery Storage the individual load of the household compared to the supply of PV energy must be examined </w:t>
      </w:r>
      <w:sdt>
        <w:sdtPr>
          <w:id w:val="11279028"/>
          <w:citation/>
        </w:sdtPr>
        <w:sdtContent>
          <w:r w:rsidR="00A008B9">
            <w:fldChar w:fldCharType="begin"/>
          </w:r>
          <w:r w:rsidR="001E1BD9">
            <w:instrText xml:space="preserve"> CITATION Joe14 \l 1061  </w:instrText>
          </w:r>
          <w:r w:rsidR="00A008B9">
            <w:fldChar w:fldCharType="separate"/>
          </w:r>
          <w:r w:rsidR="00796F8C" w:rsidRPr="00796F8C">
            <w:rPr>
              <w:noProof/>
            </w:rPr>
            <w:t>(Hoppmann, et al., 2014)</w:t>
          </w:r>
          <w:r w:rsidR="00A008B9">
            <w:rPr>
              <w:noProof/>
            </w:rPr>
            <w:fldChar w:fldCharType="end"/>
          </w:r>
        </w:sdtContent>
      </w:sdt>
      <w:r w:rsidRPr="004F2299">
        <w:t>.</w:t>
      </w:r>
    </w:p>
    <w:p w:rsidR="00DB52B8" w:rsidRPr="001E3FA2" w:rsidRDefault="003562A0" w:rsidP="00DB52B8">
      <w:pPr>
        <w:rPr>
          <w:lang w:val="en-GB"/>
        </w:rPr>
      </w:pPr>
      <w:r w:rsidRPr="001E3FA2">
        <w:rPr>
          <w:lang w:val="en-GB"/>
        </w:rPr>
        <w:lastRenderedPageBreak/>
        <w:t xml:space="preserve">In further developments, when the price for feed-in is </w:t>
      </w:r>
      <w:r w:rsidR="001E3FA2" w:rsidRPr="001E3FA2">
        <w:rPr>
          <w:lang w:val="en-GB"/>
        </w:rPr>
        <w:t>volatile</w:t>
      </w:r>
      <w:r w:rsidRPr="001E3FA2">
        <w:rPr>
          <w:lang w:val="en-GB"/>
        </w:rPr>
        <w:t xml:space="preserve">, for example when facing the wholesale market price, smart-systems can be used which observe this price and determine if its better at the moment to sell the energy or to </w:t>
      </w:r>
      <w:r w:rsidR="001E3FA2" w:rsidRPr="001E3FA2">
        <w:rPr>
          <w:lang w:val="en-GB"/>
        </w:rPr>
        <w:t>accumulate</w:t>
      </w:r>
      <w:r w:rsidRPr="001E3FA2">
        <w:rPr>
          <w:lang w:val="en-GB"/>
        </w:rPr>
        <w:t xml:space="preserve"> it for later use.</w:t>
      </w:r>
    </w:p>
    <w:p w:rsidR="00021C16" w:rsidRPr="001E3FA2" w:rsidRDefault="00021C16" w:rsidP="00021C16">
      <w:pPr>
        <w:pStyle w:val="berschrift2"/>
        <w:rPr>
          <w:lang w:val="en-GB"/>
        </w:rPr>
      </w:pPr>
      <w:bookmarkStart w:id="12" w:name="_Toc422916326"/>
      <w:r w:rsidRPr="001E3FA2">
        <w:rPr>
          <w:lang w:val="en-GB"/>
        </w:rPr>
        <w:t>Insurance</w:t>
      </w:r>
      <w:bookmarkEnd w:id="12"/>
    </w:p>
    <w:p w:rsidR="00021C16" w:rsidRPr="001E3FA2" w:rsidRDefault="00DA0D33" w:rsidP="009C5F1F">
      <w:pPr>
        <w:rPr>
          <w:lang w:val="en-GB"/>
        </w:rPr>
      </w:pPr>
      <w:r w:rsidRPr="001E3FA2">
        <w:rPr>
          <w:lang w:val="en-GB"/>
        </w:rPr>
        <w:t xml:space="preserve">Because of the high expenditure of the photovoltaic system, insurance should not be neglected. </w:t>
      </w:r>
      <w:r w:rsidR="002C53D9" w:rsidRPr="001E3FA2">
        <w:rPr>
          <w:lang w:val="en-GB"/>
        </w:rPr>
        <w:t xml:space="preserve">The insurance should include on the one hand any possible damages caused by the PV installation, which could be easily incorporated in an existing household and liability insurance. Secondly, to minimize the risk and ensure viability the PV installation should have insurance for malfunctions, because any failure of the PV system leads to losses of earnings. An optimal insurance would compensate any projected revenue from power generation. </w:t>
      </w:r>
    </w:p>
    <w:p w:rsidR="002C53D9" w:rsidRPr="001E3FA2" w:rsidRDefault="002C53D9" w:rsidP="009C5F1F">
      <w:pPr>
        <w:rPr>
          <w:lang w:val="en-GB"/>
        </w:rPr>
      </w:pPr>
      <w:r w:rsidRPr="001E3FA2">
        <w:rPr>
          <w:lang w:val="en-GB"/>
        </w:rPr>
        <w:t>In Austria the premiums for insurances which offer complete protection are in the range of 60€ per year.</w:t>
      </w:r>
    </w:p>
    <w:p w:rsidR="0079742E" w:rsidRPr="001E3FA2" w:rsidRDefault="00CA4176" w:rsidP="008A6D2C">
      <w:pPr>
        <w:pStyle w:val="berschrift2"/>
        <w:rPr>
          <w:lang w:val="en-GB"/>
        </w:rPr>
      </w:pPr>
      <w:bookmarkStart w:id="13" w:name="_Toc422916327"/>
      <w:r w:rsidRPr="001E3FA2">
        <w:rPr>
          <w:lang w:val="en-GB"/>
        </w:rPr>
        <w:t xml:space="preserve">Energy </w:t>
      </w:r>
      <w:r w:rsidR="008A6D2C" w:rsidRPr="001E3FA2">
        <w:rPr>
          <w:lang w:val="en-GB"/>
        </w:rPr>
        <w:t>Yield</w:t>
      </w:r>
      <w:bookmarkEnd w:id="13"/>
    </w:p>
    <w:p w:rsidR="00E30EDF" w:rsidRPr="001E3FA2" w:rsidRDefault="0010412C" w:rsidP="009C5F1F">
      <w:pPr>
        <w:rPr>
          <w:lang w:val="en-GB"/>
        </w:rPr>
      </w:pPr>
      <w:r>
        <w:rPr>
          <w:lang w:val="en-GB"/>
        </w:rPr>
        <w:t>C</w:t>
      </w:r>
      <w:r w:rsidR="00FC2599" w:rsidRPr="001E3FA2">
        <w:rPr>
          <w:lang w:val="en-GB"/>
        </w:rPr>
        <w:t>alculating</w:t>
      </w:r>
      <w:r w:rsidR="00E30EDF" w:rsidRPr="001E3FA2">
        <w:rPr>
          <w:lang w:val="en-GB"/>
        </w:rPr>
        <w:t xml:space="preserve"> the cost of PV electricity generation the costs is one side but the total amount of generated energy must also be projected</w:t>
      </w:r>
      <w:r w:rsidR="00277319" w:rsidRPr="001E3FA2">
        <w:rPr>
          <w:lang w:val="en-GB"/>
        </w:rPr>
        <w:t>.</w:t>
      </w:r>
      <w:r w:rsidR="00D80629">
        <w:rPr>
          <w:lang w:val="en-GB"/>
        </w:rPr>
        <w:t xml:space="preserve"> </w:t>
      </w:r>
      <w:r w:rsidR="004D72C0">
        <w:rPr>
          <w:lang w:val="en-GB"/>
        </w:rPr>
        <w:t>A</w:t>
      </w:r>
      <w:r w:rsidR="00D80629">
        <w:rPr>
          <w:lang w:val="en-GB"/>
        </w:rPr>
        <w:t xml:space="preserve"> 5kW PV system does not equal 5k</w:t>
      </w:r>
      <w:r w:rsidR="00E30EDF" w:rsidRPr="001E3FA2">
        <w:rPr>
          <w:lang w:val="en-GB"/>
        </w:rPr>
        <w:t xml:space="preserve">Wh energy generation each hour in a year. This is because the power specification of a </w:t>
      </w:r>
      <w:r>
        <w:rPr>
          <w:lang w:val="en-GB"/>
        </w:rPr>
        <w:t>module is only valid for the Standard Test Condition (STC</w:t>
      </w:r>
      <w:r w:rsidR="003F06C4">
        <w:rPr>
          <w:lang w:val="en-GB"/>
        </w:rPr>
        <w:t>, defined by the IEC</w:t>
      </w:r>
      <w:r>
        <w:rPr>
          <w:lang w:val="en-GB"/>
        </w:rPr>
        <w:t>),</w:t>
      </w:r>
      <w:r w:rsidR="00E30EDF" w:rsidRPr="001E3FA2">
        <w:rPr>
          <w:lang w:val="en-GB"/>
        </w:rPr>
        <w:t xml:space="preserve"> which are no</w:t>
      </w:r>
      <w:r w:rsidR="00277319" w:rsidRPr="001E3FA2">
        <w:rPr>
          <w:lang w:val="en-GB"/>
        </w:rPr>
        <w:t xml:space="preserve">t the conditions the PV modules are </w:t>
      </w:r>
      <w:r>
        <w:rPr>
          <w:lang w:val="en-GB"/>
        </w:rPr>
        <w:t>likely</w:t>
      </w:r>
      <w:r w:rsidR="00277319" w:rsidRPr="001E3FA2">
        <w:rPr>
          <w:lang w:val="en-GB"/>
        </w:rPr>
        <w:t xml:space="preserve"> to face in </w:t>
      </w:r>
      <w:r w:rsidR="00E30EDF" w:rsidRPr="001E3FA2">
        <w:rPr>
          <w:lang w:val="en-GB"/>
        </w:rPr>
        <w:t xml:space="preserve">actual operation. </w:t>
      </w:r>
    </w:p>
    <w:p w:rsidR="0038423D" w:rsidRPr="001E3FA2" w:rsidRDefault="003F06C4" w:rsidP="009C5F1F">
      <w:pPr>
        <w:rPr>
          <w:lang w:val="en-GB"/>
        </w:rPr>
      </w:pPr>
      <w:r>
        <w:rPr>
          <w:lang w:val="en-GB"/>
        </w:rPr>
        <w:t xml:space="preserve">Following two </w:t>
      </w:r>
      <w:r w:rsidR="00277319" w:rsidRPr="001E3FA2">
        <w:rPr>
          <w:lang w:val="en-GB"/>
        </w:rPr>
        <w:t xml:space="preserve">aspects </w:t>
      </w:r>
      <w:r>
        <w:rPr>
          <w:lang w:val="en-GB"/>
        </w:rPr>
        <w:t xml:space="preserve">alter </w:t>
      </w:r>
      <w:r w:rsidR="00277319" w:rsidRPr="001E3FA2">
        <w:rPr>
          <w:lang w:val="en-GB"/>
        </w:rPr>
        <w:t xml:space="preserve">the </w:t>
      </w:r>
      <w:r>
        <w:rPr>
          <w:lang w:val="en-GB"/>
        </w:rPr>
        <w:t xml:space="preserve">yield </w:t>
      </w:r>
      <w:r w:rsidR="00277319" w:rsidRPr="001E3FA2">
        <w:rPr>
          <w:lang w:val="en-GB"/>
        </w:rPr>
        <w:t xml:space="preserve">of </w:t>
      </w:r>
      <w:r>
        <w:rPr>
          <w:lang w:val="en-GB"/>
        </w:rPr>
        <w:t>a</w:t>
      </w:r>
      <w:r w:rsidR="00277319" w:rsidRPr="001E3FA2">
        <w:rPr>
          <w:lang w:val="en-GB"/>
        </w:rPr>
        <w:t xml:space="preserve"> PV</w:t>
      </w:r>
      <w:r>
        <w:rPr>
          <w:lang w:val="en-GB"/>
        </w:rPr>
        <w:t xml:space="preserve"> module compared to the STC. First, t</w:t>
      </w:r>
      <w:r w:rsidRPr="003F06C4">
        <w:rPr>
          <w:lang w:val="en-GB"/>
        </w:rPr>
        <w:t xml:space="preserve">he amount of </w:t>
      </w:r>
      <w:r>
        <w:rPr>
          <w:lang w:val="en-GB"/>
        </w:rPr>
        <w:t xml:space="preserve">solar irradiance </w:t>
      </w:r>
      <w:r w:rsidR="00277319" w:rsidRPr="003F06C4">
        <w:rPr>
          <w:lang w:val="en-GB"/>
        </w:rPr>
        <w:t xml:space="preserve">depends </w:t>
      </w:r>
      <w:r>
        <w:rPr>
          <w:lang w:val="en-GB"/>
        </w:rPr>
        <w:t xml:space="preserve">on the location of the modules, </w:t>
      </w:r>
      <w:r w:rsidR="00277319" w:rsidRPr="003F06C4">
        <w:rPr>
          <w:lang w:val="en-GB"/>
        </w:rPr>
        <w:t>there angle and orientation</w:t>
      </w:r>
      <w:r>
        <w:rPr>
          <w:lang w:val="en-GB"/>
        </w:rPr>
        <w:t>. Secondly, t</w:t>
      </w:r>
      <w:r w:rsidR="00277319" w:rsidRPr="001E3FA2">
        <w:rPr>
          <w:lang w:val="en-GB"/>
        </w:rPr>
        <w:t>he STC is determined for a constant temperature. In actual operation the PV modules heat up, which has a significant impact on efficiency. With higher temperature they generate less energy. At the same time, when in winter the outside temperature is low the efficienc</w:t>
      </w:r>
      <w:r w:rsidR="00FC2599" w:rsidRPr="001E3FA2">
        <w:rPr>
          <w:lang w:val="en-GB"/>
        </w:rPr>
        <w:t>y increases. This has the interesting effect that in countries in the northern part of the globe the lower solar irradiance is compensated by lower mean temperatures</w:t>
      </w:r>
      <w:r w:rsidR="002A5247" w:rsidRPr="001E3FA2">
        <w:rPr>
          <w:lang w:val="en-GB"/>
        </w:rPr>
        <w:t>.</w:t>
      </w:r>
    </w:p>
    <w:p w:rsidR="002A5247" w:rsidRPr="001E3FA2" w:rsidRDefault="002A5247" w:rsidP="009C5F1F">
      <w:pPr>
        <w:rPr>
          <w:lang w:val="en-GB"/>
        </w:rPr>
      </w:pPr>
      <w:r w:rsidRPr="001E3FA2">
        <w:rPr>
          <w:lang w:val="en-GB"/>
        </w:rPr>
        <w:t xml:space="preserve">To cope with these amount </w:t>
      </w:r>
      <w:r w:rsidR="003F06C4">
        <w:rPr>
          <w:lang w:val="en-GB"/>
        </w:rPr>
        <w:t xml:space="preserve">with these uncertainties </w:t>
      </w:r>
      <w:r w:rsidRPr="001E3FA2">
        <w:rPr>
          <w:lang w:val="en-GB"/>
        </w:rPr>
        <w:t>the Joint Research Centre of the EU provides the tool PVGIS</w:t>
      </w:r>
      <w:r w:rsidR="00D33179">
        <w:rPr>
          <w:lang w:val="en-GB"/>
        </w:rPr>
        <w:t xml:space="preserve"> </w:t>
      </w:r>
      <w:sdt>
        <w:sdtPr>
          <w:id w:val="11279346"/>
          <w:citation/>
        </w:sdtPr>
        <w:sdtContent>
          <w:r w:rsidR="00A008B9">
            <w:fldChar w:fldCharType="begin"/>
          </w:r>
          <w:r w:rsidR="001E1BD9">
            <w:instrText xml:space="preserve"> CITATION MŠú05 \l 1061  </w:instrText>
          </w:r>
          <w:r w:rsidR="00A008B9">
            <w:fldChar w:fldCharType="separate"/>
          </w:r>
          <w:r w:rsidR="00796F8C" w:rsidRPr="00796F8C">
            <w:rPr>
              <w:noProof/>
            </w:rPr>
            <w:t>(Šúri, et al., 2005)</w:t>
          </w:r>
          <w:r w:rsidR="00A008B9">
            <w:rPr>
              <w:noProof/>
            </w:rPr>
            <w:fldChar w:fldCharType="end"/>
          </w:r>
        </w:sdtContent>
      </w:sdt>
      <w:r w:rsidRPr="004F2299">
        <w:t>. With</w:t>
      </w:r>
      <w:r w:rsidRPr="001E3FA2">
        <w:rPr>
          <w:lang w:val="en-GB"/>
        </w:rPr>
        <w:t xml:space="preserve"> average information gathered about the trend of ambient temperatures in a year and the trend of solar irradiance taking into consideration the location and angle of the PV System and using a formula which estimates the effect of temperature on PV modules, the average annual possible electricity production for a PV System can obtained.</w:t>
      </w:r>
    </w:p>
    <w:p w:rsidR="0079742E" w:rsidRPr="001E3FA2" w:rsidRDefault="005E0B06" w:rsidP="009C5F1F">
      <w:pPr>
        <w:rPr>
          <w:lang w:val="en-GB"/>
        </w:rPr>
      </w:pPr>
      <w:r>
        <w:rPr>
          <w:lang w:val="en-GB"/>
        </w:rPr>
        <w:t xml:space="preserve">Last but not least </w:t>
      </w:r>
      <w:r w:rsidR="00FC2599" w:rsidRPr="001E3FA2">
        <w:rPr>
          <w:lang w:val="en-GB"/>
        </w:rPr>
        <w:t>the losses in the balance of system must be considered. This includes losses from the cables and the inverter.</w:t>
      </w:r>
      <w:r w:rsidR="002A5247" w:rsidRPr="001E3FA2">
        <w:rPr>
          <w:lang w:val="en-GB"/>
        </w:rPr>
        <w:t xml:space="preserve"> </w:t>
      </w:r>
      <w:r>
        <w:rPr>
          <w:lang w:val="en-GB"/>
        </w:rPr>
        <w:t xml:space="preserve">With this we get </w:t>
      </w:r>
      <w:r w:rsidR="0038423D" w:rsidRPr="001E3FA2">
        <w:rPr>
          <w:lang w:val="en-GB"/>
        </w:rPr>
        <w:t xml:space="preserve">the </w:t>
      </w:r>
      <w:r w:rsidR="000938DD">
        <w:rPr>
          <w:lang w:val="en-GB"/>
        </w:rPr>
        <w:t xml:space="preserve">annual </w:t>
      </w:r>
      <w:r>
        <w:rPr>
          <w:lang w:val="en-GB"/>
        </w:rPr>
        <w:t xml:space="preserve">yield. </w:t>
      </w:r>
      <w:r w:rsidR="000938DD">
        <w:rPr>
          <w:lang w:val="en-GB"/>
        </w:rPr>
        <w:t xml:space="preserve">In the lifetime of </w:t>
      </w:r>
      <w:r w:rsidR="000938DD" w:rsidRPr="004F2299">
        <w:t xml:space="preserve">the PV installation it will not be constant, because of degradation due to various reasons </w:t>
      </w:r>
      <w:sdt>
        <w:sdtPr>
          <w:id w:val="11279348"/>
          <w:citation/>
        </w:sdtPr>
        <w:sdtContent>
          <w:r w:rsidR="00A008B9">
            <w:fldChar w:fldCharType="begin"/>
          </w:r>
          <w:r w:rsidR="001E1BD9">
            <w:instrText xml:space="preserve"> CITATION Aba13 \l 1061  </w:instrText>
          </w:r>
          <w:r w:rsidR="00A008B9">
            <w:fldChar w:fldCharType="separate"/>
          </w:r>
          <w:r w:rsidR="00796F8C" w:rsidRPr="00796F8C">
            <w:rPr>
              <w:noProof/>
            </w:rPr>
            <w:t>(Ndiaye, et al., 2013)</w:t>
          </w:r>
          <w:r w:rsidR="00A008B9">
            <w:rPr>
              <w:noProof/>
            </w:rPr>
            <w:fldChar w:fldCharType="end"/>
          </w:r>
        </w:sdtContent>
      </w:sdt>
      <w:r w:rsidR="000938DD" w:rsidRPr="004F2299">
        <w:t>.</w:t>
      </w:r>
    </w:p>
    <w:p w:rsidR="002907AD" w:rsidRPr="001E3FA2" w:rsidRDefault="001F46B6" w:rsidP="002907AD">
      <w:pPr>
        <w:pStyle w:val="berschrift1"/>
        <w:rPr>
          <w:lang w:val="en-GB"/>
        </w:rPr>
      </w:pPr>
      <w:bookmarkStart w:id="14" w:name="_Toc217376420"/>
      <w:bookmarkStart w:id="15" w:name="_Toc227571146"/>
      <w:bookmarkStart w:id="16" w:name="_Toc422916328"/>
      <w:r>
        <w:rPr>
          <w:lang w:val="en-GB"/>
        </w:rPr>
        <w:lastRenderedPageBreak/>
        <w:t>5.</w:t>
      </w:r>
      <w:r w:rsidR="00F4287E" w:rsidRPr="001E3FA2">
        <w:rPr>
          <w:lang w:val="en-GB"/>
        </w:rPr>
        <w:tab/>
      </w:r>
      <w:bookmarkEnd w:id="14"/>
      <w:bookmarkEnd w:id="15"/>
      <w:r w:rsidR="00391612" w:rsidRPr="001E3FA2">
        <w:rPr>
          <w:lang w:val="en-GB"/>
        </w:rPr>
        <w:t>Discussion</w:t>
      </w:r>
      <w:bookmarkEnd w:id="16"/>
    </w:p>
    <w:p w:rsidR="00391612" w:rsidRPr="001E3FA2" w:rsidRDefault="00391612" w:rsidP="00391612">
      <w:pPr>
        <w:rPr>
          <w:lang w:val="en-GB"/>
        </w:rPr>
      </w:pPr>
      <w:r w:rsidRPr="001E3FA2">
        <w:rPr>
          <w:lang w:val="en-GB"/>
        </w:rPr>
        <w:t xml:space="preserve">After analysing all the costs in connection with PV installations </w:t>
      </w:r>
      <w:r w:rsidR="00B60BCD">
        <w:rPr>
          <w:lang w:val="en-GB"/>
        </w:rPr>
        <w:t xml:space="preserve">or households </w:t>
      </w:r>
      <w:r w:rsidRPr="001E3FA2">
        <w:rPr>
          <w:lang w:val="en-GB"/>
        </w:rPr>
        <w:t>we would like to calculate the cost of generating elec</w:t>
      </w:r>
      <w:r w:rsidR="00B60BCD">
        <w:rPr>
          <w:lang w:val="en-GB"/>
        </w:rPr>
        <w:t>tricity.</w:t>
      </w:r>
    </w:p>
    <w:p w:rsidR="00BE70CC" w:rsidRPr="00BE70CC" w:rsidRDefault="00BE70CC" w:rsidP="00391612">
      <w:pPr>
        <w:rPr>
          <w:lang w:val="en-GB"/>
        </w:rPr>
      </w:pPr>
    </w:p>
    <w:p w:rsidR="00391612" w:rsidRPr="001E3FA2" w:rsidRDefault="00391612" w:rsidP="00391612">
      <w:pPr>
        <w:rPr>
          <w:lang w:val="en-GB"/>
        </w:rPr>
      </w:pPr>
      <m:oMathPara>
        <m:oMath>
          <m:r>
            <w:rPr>
              <w:rFonts w:ascii="Cambria Math" w:hAnsi="Cambria Math"/>
              <w:lang w:val="en-GB"/>
            </w:rPr>
            <m:t>LCOE =</m:t>
          </m:r>
          <m:f>
            <m:fPr>
              <m:ctrlPr>
                <w:rPr>
                  <w:rFonts w:ascii="Cambria Math" w:hAnsi="Cambria Math"/>
                  <w:i/>
                  <w:lang w:val="en-GB"/>
                </w:rPr>
              </m:ctrlPr>
            </m:fPr>
            <m:num>
              <m:r>
                <w:rPr>
                  <w:rFonts w:ascii="Cambria Math" w:hAnsi="Cambria Math"/>
                  <w:lang w:val="en-GB"/>
                </w:rPr>
                <m:t>I+</m:t>
              </m:r>
              <m:nary>
                <m:naryPr>
                  <m:chr m:val="∑"/>
                  <m:limLoc m:val="undOvr"/>
                  <m:ctrlPr>
                    <w:rPr>
                      <w:rFonts w:ascii="Cambria Math" w:hAnsi="Cambria Math"/>
                      <w:i/>
                      <w:lang w:val="en-GB"/>
                    </w:rPr>
                  </m:ctrlPr>
                </m:naryPr>
                <m:sub>
                  <m:r>
                    <w:rPr>
                      <w:rFonts w:ascii="Cambria Math" w:hAnsi="Cambria Math"/>
                      <w:lang w:val="en-GB"/>
                    </w:rPr>
                    <m:t>t=1</m:t>
                  </m:r>
                </m:sub>
                <m:sup>
                  <m:r>
                    <w:rPr>
                      <w:rFonts w:ascii="Cambria Math" w:hAnsi="Cambria Math"/>
                      <w:lang w:val="en-GB"/>
                    </w:rPr>
                    <m:t>T</m:t>
                  </m:r>
                </m:sup>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m:t>
                          </m:r>
                        </m:sub>
                      </m:sSub>
                    </m:num>
                    <m:den>
                      <m:sSup>
                        <m:sSupPr>
                          <m:ctrlPr>
                            <w:rPr>
                              <w:rFonts w:ascii="Cambria Math" w:hAnsi="Cambria Math"/>
                              <w:i/>
                              <w:lang w:val="en-GB"/>
                            </w:rPr>
                          </m:ctrlPr>
                        </m:sSupPr>
                        <m:e>
                          <m:r>
                            <w:rPr>
                              <w:rFonts w:ascii="Cambria Math" w:hAnsi="Cambria Math"/>
                              <w:lang w:val="en-GB"/>
                            </w:rPr>
                            <m:t>(1+r)</m:t>
                          </m:r>
                        </m:e>
                        <m:sup>
                          <m:r>
                            <w:rPr>
                              <w:rFonts w:ascii="Cambria Math" w:hAnsi="Cambria Math"/>
                              <w:lang w:val="en-GB"/>
                            </w:rPr>
                            <m:t>t</m:t>
                          </m:r>
                        </m:sup>
                      </m:sSup>
                    </m:den>
                  </m:f>
                </m:e>
              </m:nary>
            </m:num>
            <m:den>
              <m:nary>
                <m:naryPr>
                  <m:chr m:val="∑"/>
                  <m:limLoc m:val="undOvr"/>
                  <m:ctrlPr>
                    <w:rPr>
                      <w:rFonts w:ascii="Cambria Math" w:hAnsi="Cambria Math"/>
                      <w:i/>
                      <w:lang w:val="en-GB"/>
                    </w:rPr>
                  </m:ctrlPr>
                </m:naryPr>
                <m:sub>
                  <m:r>
                    <w:rPr>
                      <w:rFonts w:ascii="Cambria Math" w:hAnsi="Cambria Math"/>
                      <w:lang w:val="en-GB"/>
                    </w:rPr>
                    <m:t>t=1</m:t>
                  </m:r>
                </m:sub>
                <m:sup>
                  <m:r>
                    <w:rPr>
                      <w:rFonts w:ascii="Cambria Math" w:hAnsi="Cambria Math"/>
                      <w:lang w:val="en-GB"/>
                    </w:rPr>
                    <m:t>T</m:t>
                  </m:r>
                </m:sup>
                <m:e>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t</m:t>
                          </m:r>
                        </m:sub>
                      </m:sSub>
                    </m:num>
                    <m:den>
                      <m:sSup>
                        <m:sSupPr>
                          <m:ctrlPr>
                            <w:rPr>
                              <w:rFonts w:ascii="Cambria Math" w:hAnsi="Cambria Math"/>
                              <w:i/>
                              <w:lang w:val="en-GB"/>
                            </w:rPr>
                          </m:ctrlPr>
                        </m:sSupPr>
                        <m:e>
                          <m:r>
                            <w:rPr>
                              <w:rFonts w:ascii="Cambria Math" w:hAnsi="Cambria Math"/>
                              <w:lang w:val="en-GB"/>
                            </w:rPr>
                            <m:t>(1+r)</m:t>
                          </m:r>
                        </m:e>
                        <m:sup>
                          <m:r>
                            <w:rPr>
                              <w:rFonts w:ascii="Cambria Math" w:hAnsi="Cambria Math"/>
                              <w:lang w:val="en-GB"/>
                            </w:rPr>
                            <m:t>t</m:t>
                          </m:r>
                        </m:sup>
                      </m:sSup>
                    </m:den>
                  </m:f>
                </m:e>
              </m:nary>
            </m:den>
          </m:f>
        </m:oMath>
      </m:oMathPara>
    </w:p>
    <w:p w:rsidR="00391612" w:rsidRPr="001E3FA2" w:rsidRDefault="00032746" w:rsidP="002907AD">
      <w:pPr>
        <w:rPr>
          <w:szCs w:val="16"/>
          <w:lang w:val="en-GB"/>
        </w:rPr>
      </w:pPr>
      <w:r>
        <w:rPr>
          <w:szCs w:val="16"/>
          <w:lang w:val="en-GB"/>
        </w:rPr>
        <w:t xml:space="preserve">Here </w:t>
      </w:r>
      <m:oMath>
        <m:sSub>
          <m:sSubPr>
            <m:ctrlPr>
              <w:rPr>
                <w:rFonts w:ascii="Cambria Math" w:hAnsi="Cambria Math"/>
                <w:i/>
                <w:szCs w:val="16"/>
                <w:lang w:val="en-GB"/>
              </w:rPr>
            </m:ctrlPr>
          </m:sSubPr>
          <m:e>
            <m:r>
              <w:rPr>
                <w:rFonts w:ascii="Cambria Math" w:hAnsi="Cambria Math"/>
                <w:szCs w:val="16"/>
                <w:lang w:val="en-GB"/>
              </w:rPr>
              <m:t>C</m:t>
            </m:r>
          </m:e>
          <m:sub>
            <m:r>
              <w:rPr>
                <w:rFonts w:ascii="Cambria Math" w:hAnsi="Cambria Math"/>
                <w:szCs w:val="16"/>
                <w:lang w:val="en-GB"/>
              </w:rPr>
              <m:t>t</m:t>
            </m:r>
          </m:sub>
        </m:sSub>
        <m:r>
          <w:rPr>
            <w:rFonts w:ascii="Cambria Math" w:hAnsi="Cambria Math"/>
            <w:szCs w:val="16"/>
            <w:lang w:val="en-GB"/>
          </w:rPr>
          <m:t xml:space="preserve"> </m:t>
        </m:r>
      </m:oMath>
      <w:r>
        <w:rPr>
          <w:szCs w:val="16"/>
          <w:lang w:val="en-GB"/>
        </w:rPr>
        <w:t xml:space="preserve">and </w:t>
      </w:r>
      <m:oMath>
        <m:sSub>
          <m:sSubPr>
            <m:ctrlPr>
              <w:rPr>
                <w:rFonts w:ascii="Cambria Math" w:hAnsi="Cambria Math"/>
                <w:i/>
                <w:szCs w:val="16"/>
                <w:lang w:val="en-GB"/>
              </w:rPr>
            </m:ctrlPr>
          </m:sSubPr>
          <m:e>
            <m:r>
              <w:rPr>
                <w:rFonts w:ascii="Cambria Math" w:hAnsi="Cambria Math"/>
                <w:szCs w:val="16"/>
                <w:lang w:val="en-GB"/>
              </w:rPr>
              <m:t>E</m:t>
            </m:r>
          </m:e>
          <m:sub>
            <m:r>
              <w:rPr>
                <w:rFonts w:ascii="Cambria Math" w:hAnsi="Cambria Math"/>
                <w:szCs w:val="16"/>
                <w:lang w:val="en-GB"/>
              </w:rPr>
              <m:t>t</m:t>
            </m:r>
          </m:sub>
        </m:sSub>
      </m:oMath>
      <w:r>
        <w:rPr>
          <w:szCs w:val="16"/>
          <w:lang w:val="en-GB"/>
        </w:rPr>
        <w:t xml:space="preserve"> are the operation cost and energy yield for each year, respectively, </w:t>
      </w:r>
      <w:r w:rsidR="00AA62E2">
        <w:rPr>
          <w:szCs w:val="16"/>
          <w:lang w:val="en-GB"/>
        </w:rPr>
        <w:t xml:space="preserve">and they are discounted with the </w:t>
      </w:r>
      <w:proofErr w:type="gramStart"/>
      <w:r w:rsidR="00AA62E2">
        <w:rPr>
          <w:szCs w:val="16"/>
          <w:lang w:val="en-GB"/>
        </w:rPr>
        <w:t>facto</w:t>
      </w:r>
      <w:r w:rsidR="001E6CB7">
        <w:rPr>
          <w:szCs w:val="16"/>
          <w:lang w:val="en-GB"/>
        </w:rPr>
        <w:t>r</w:t>
      </w:r>
      <w:r w:rsidR="00AA62E2">
        <w:rPr>
          <w:szCs w:val="16"/>
          <w:lang w:val="en-GB"/>
        </w:rPr>
        <w:t xml:space="preserve"> </w:t>
      </w:r>
      <m:oMath>
        <w:proofErr w:type="gramEnd"/>
        <m:r>
          <w:rPr>
            <w:rFonts w:ascii="Cambria Math" w:hAnsi="Cambria Math"/>
            <w:szCs w:val="16"/>
            <w:lang w:val="en-GB"/>
          </w:rPr>
          <m:t>r</m:t>
        </m:r>
      </m:oMath>
      <w:r>
        <w:rPr>
          <w:szCs w:val="16"/>
          <w:lang w:val="en-GB"/>
        </w:rPr>
        <w:t>. The investment cost</w:t>
      </w:r>
      <w:r w:rsidR="00AA62E2">
        <w:rPr>
          <w:szCs w:val="16"/>
          <w:lang w:val="en-GB"/>
        </w:rPr>
        <w:t xml:space="preserve">s </w:t>
      </w:r>
      <w:r>
        <w:rPr>
          <w:szCs w:val="16"/>
          <w:lang w:val="en-GB"/>
        </w:rPr>
        <w:t xml:space="preserve">are denoted by </w:t>
      </w:r>
      <m:oMath>
        <m:r>
          <w:rPr>
            <w:rFonts w:ascii="Cambria Math" w:hAnsi="Cambria Math"/>
            <w:szCs w:val="16"/>
            <w:lang w:val="en-GB"/>
          </w:rPr>
          <m:t>I</m:t>
        </m:r>
      </m:oMath>
      <w:r>
        <w:rPr>
          <w:szCs w:val="16"/>
          <w:lang w:val="en-GB"/>
        </w:rPr>
        <w:t xml:space="preserve"> for the PV system with a lifetime of </w:t>
      </w:r>
      <m:oMath>
        <m:r>
          <w:rPr>
            <w:rFonts w:ascii="Cambria Math" w:hAnsi="Cambria Math"/>
            <w:szCs w:val="16"/>
            <w:lang w:val="en-GB"/>
          </w:rPr>
          <m:t>T</m:t>
        </m:r>
      </m:oMath>
      <w:r>
        <w:rPr>
          <w:szCs w:val="16"/>
          <w:lang w:val="en-GB"/>
        </w:rPr>
        <w:t xml:space="preserve"> year</w:t>
      </w:r>
      <w:r w:rsidR="00AA62E2">
        <w:rPr>
          <w:szCs w:val="16"/>
          <w:lang w:val="en-GB"/>
        </w:rPr>
        <w:t>s</w:t>
      </w:r>
      <w:r>
        <w:rPr>
          <w:szCs w:val="16"/>
          <w:lang w:val="en-GB"/>
        </w:rPr>
        <w:t>.</w:t>
      </w:r>
      <w:r w:rsidR="00AA62E2">
        <w:rPr>
          <w:szCs w:val="16"/>
          <w:lang w:val="en-GB"/>
        </w:rPr>
        <w:t xml:space="preserve"> It </w:t>
      </w:r>
      <w:r w:rsidR="00391612" w:rsidRPr="001E3FA2">
        <w:rPr>
          <w:szCs w:val="16"/>
          <w:lang w:val="en-GB"/>
        </w:rPr>
        <w:t xml:space="preserve">equals the minimum </w:t>
      </w:r>
      <w:r w:rsidR="00E853DE" w:rsidRPr="001E3FA2">
        <w:rPr>
          <w:szCs w:val="16"/>
          <w:lang w:val="en-GB"/>
        </w:rPr>
        <w:t xml:space="preserve">production </w:t>
      </w:r>
      <w:r w:rsidR="00391612" w:rsidRPr="001E3FA2">
        <w:rPr>
          <w:szCs w:val="16"/>
          <w:lang w:val="en-GB"/>
        </w:rPr>
        <w:t>price for which the NPV would be zero</w:t>
      </w:r>
      <w:r w:rsidR="00E853DE" w:rsidRPr="001E3FA2">
        <w:rPr>
          <w:szCs w:val="16"/>
          <w:lang w:val="en-GB"/>
        </w:rPr>
        <w:t>.</w:t>
      </w:r>
    </w:p>
    <w:p w:rsidR="00D80629" w:rsidRDefault="00391612" w:rsidP="002907AD">
      <w:pPr>
        <w:rPr>
          <w:lang w:val="en-GB"/>
        </w:rPr>
      </w:pPr>
      <m:oMathPara>
        <m:oMath>
          <m:r>
            <w:rPr>
              <w:rFonts w:ascii="Cambria Math" w:hAnsi="Cambria Math"/>
              <w:lang w:val="en-GB"/>
            </w:rPr>
            <m:t>NPV = -I+</m:t>
          </m:r>
          <m:nary>
            <m:naryPr>
              <m:chr m:val="∑"/>
              <m:limLoc m:val="undOvr"/>
              <m:ctrlPr>
                <w:rPr>
                  <w:rFonts w:ascii="Cambria Math" w:hAnsi="Cambria Math"/>
                  <w:i/>
                  <w:lang w:val="en-GB"/>
                </w:rPr>
              </m:ctrlPr>
            </m:naryPr>
            <m:sub>
              <m:r>
                <w:rPr>
                  <w:rFonts w:ascii="Cambria Math" w:hAnsi="Cambria Math"/>
                  <w:lang w:val="en-GB"/>
                </w:rPr>
                <m:t>t=0</m:t>
              </m:r>
            </m:sub>
            <m:sup>
              <m:r>
                <w:rPr>
                  <w:rFonts w:ascii="Cambria Math" w:hAnsi="Cambria Math"/>
                  <w:lang w:val="en-GB"/>
                </w:rPr>
                <m:t>T</m:t>
              </m:r>
            </m:sup>
            <m:e>
              <m:f>
                <m:fPr>
                  <m:ctrlPr>
                    <w:rPr>
                      <w:rFonts w:ascii="Cambria Math" w:hAnsi="Cambria Math"/>
                      <w:i/>
                      <w:lang w:val="en-GB"/>
                    </w:rPr>
                  </m:ctrlPr>
                </m:fPr>
                <m:num>
                  <m:r>
                    <w:rPr>
                      <w:rFonts w:ascii="Cambria Math" w:hAnsi="Cambria Math"/>
                      <w:lang w:val="en-GB"/>
                    </w:rPr>
                    <m:t>(LCOE*</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t</m:t>
                      </m:r>
                    </m:sub>
                  </m:sSub>
                  <m:r>
                    <w:rPr>
                      <w:rFonts w:ascii="Cambria Math" w:hAnsi="Cambria Math"/>
                      <w:lang w:val="en-GB"/>
                    </w:rPr>
                    <m:t>)</m:t>
                  </m:r>
                </m:num>
                <m:den>
                  <m:sSup>
                    <m:sSupPr>
                      <m:ctrlPr>
                        <w:rPr>
                          <w:rFonts w:ascii="Cambria Math" w:hAnsi="Cambria Math"/>
                          <w:i/>
                          <w:lang w:val="en-GB"/>
                        </w:rPr>
                      </m:ctrlPr>
                    </m:sSupPr>
                    <m:e>
                      <m:r>
                        <w:rPr>
                          <w:rFonts w:ascii="Cambria Math" w:hAnsi="Cambria Math"/>
                          <w:lang w:val="en-GB"/>
                        </w:rPr>
                        <m:t>(1+r)</m:t>
                      </m:r>
                    </m:e>
                    <m:sup>
                      <m:r>
                        <w:rPr>
                          <w:rFonts w:ascii="Cambria Math" w:hAnsi="Cambria Math"/>
                          <w:lang w:val="en-GB"/>
                        </w:rPr>
                        <m:t>t</m:t>
                      </m:r>
                    </m:sup>
                  </m:sSup>
                </m:den>
              </m:f>
            </m:e>
          </m:nary>
          <m:r>
            <w:rPr>
              <w:rFonts w:ascii="Cambria Math" w:hAnsi="Cambria Math"/>
              <w:lang w:val="en-GB"/>
            </w:rPr>
            <m:t>=0</m:t>
          </m:r>
        </m:oMath>
      </m:oMathPara>
    </w:p>
    <w:p w:rsidR="009C26D9" w:rsidRPr="00D80629" w:rsidRDefault="00E853DE" w:rsidP="002907AD">
      <w:pPr>
        <w:rPr>
          <w:lang w:val="en-GB"/>
        </w:rPr>
      </w:pPr>
      <w:r w:rsidRPr="001E3FA2">
        <w:rPr>
          <w:szCs w:val="16"/>
          <w:lang w:val="en-GB"/>
        </w:rPr>
        <w:t xml:space="preserve">This means, </w:t>
      </w:r>
      <w:r w:rsidR="00D33179">
        <w:rPr>
          <w:szCs w:val="16"/>
          <w:lang w:val="en-GB"/>
        </w:rPr>
        <w:t xml:space="preserve">if </w:t>
      </w:r>
      <w:r w:rsidRPr="001E3FA2">
        <w:rPr>
          <w:szCs w:val="16"/>
          <w:lang w:val="en-GB"/>
        </w:rPr>
        <w:t>for every unit of energy generated income in the extent of the LCOE can be made (from saving purchased energy or from selling it)</w:t>
      </w:r>
      <w:r w:rsidR="00E3425F">
        <w:rPr>
          <w:szCs w:val="16"/>
          <w:lang w:val="en-GB"/>
        </w:rPr>
        <w:t>,</w:t>
      </w:r>
      <w:r w:rsidRPr="001E3FA2">
        <w:rPr>
          <w:szCs w:val="16"/>
          <w:lang w:val="en-GB"/>
        </w:rPr>
        <w:t xml:space="preserve"> the return of the investment is favourable and the PV insta</w:t>
      </w:r>
      <w:r w:rsidR="00AA62E2">
        <w:rPr>
          <w:szCs w:val="16"/>
          <w:lang w:val="en-GB"/>
        </w:rPr>
        <w:t>llation is economically viable.</w:t>
      </w:r>
    </w:p>
    <w:p w:rsidR="004D72C0" w:rsidRDefault="009C26D9" w:rsidP="002907AD">
      <w:pPr>
        <w:rPr>
          <w:szCs w:val="16"/>
          <w:lang w:val="en-GB"/>
        </w:rPr>
      </w:pPr>
      <w:r>
        <w:rPr>
          <w:szCs w:val="16"/>
          <w:lang w:val="en-GB"/>
        </w:rPr>
        <w:t xml:space="preserve">For an exemplary PV installation </w:t>
      </w:r>
      <w:r w:rsidR="00D80629">
        <w:rPr>
          <w:szCs w:val="16"/>
          <w:lang w:val="en-GB"/>
        </w:rPr>
        <w:t>in Austria</w:t>
      </w:r>
      <w:r w:rsidR="00A34156">
        <w:rPr>
          <w:szCs w:val="16"/>
          <w:lang w:val="en-GB"/>
        </w:rPr>
        <w:t xml:space="preserve"> and in the Czech Republic</w:t>
      </w:r>
      <w:r w:rsidR="00D80629">
        <w:rPr>
          <w:szCs w:val="16"/>
          <w:lang w:val="en-GB"/>
        </w:rPr>
        <w:t xml:space="preserve"> the average results obtained from the research where used, see Table 1</w:t>
      </w:r>
      <w:r w:rsidR="00A34156">
        <w:rPr>
          <w:szCs w:val="16"/>
          <w:lang w:val="en-GB"/>
        </w:rPr>
        <w:t xml:space="preserve"> and Table 2. </w:t>
      </w:r>
    </w:p>
    <w:tbl>
      <w:tblPr>
        <w:tblW w:w="0" w:type="auto"/>
        <w:tblCellMar>
          <w:left w:w="0" w:type="dxa"/>
          <w:right w:w="0" w:type="dxa"/>
        </w:tblCellMar>
        <w:tblLook w:val="04A0"/>
      </w:tblPr>
      <w:tblGrid>
        <w:gridCol w:w="799"/>
        <w:gridCol w:w="1239"/>
        <w:gridCol w:w="888"/>
        <w:gridCol w:w="1259"/>
        <w:gridCol w:w="956"/>
        <w:gridCol w:w="1278"/>
        <w:gridCol w:w="1047"/>
        <w:gridCol w:w="1349"/>
      </w:tblGrid>
      <w:tr w:rsidR="009C26D9" w:rsidTr="009C26D9">
        <w:trPr>
          <w:trHeight w:val="930"/>
        </w:trPr>
        <w:tc>
          <w:tcPr>
            <w:tcW w:w="0" w:type="auto"/>
            <w:tcBorders>
              <w:top w:val="single" w:sz="4" w:space="0" w:color="7F7F7F"/>
              <w:left w:val="single" w:sz="4" w:space="0" w:color="7F7F7F"/>
              <w:bottom w:val="single" w:sz="4" w:space="0" w:color="7F7F7F"/>
              <w:right w:val="nil"/>
            </w:tcBorders>
            <w:shd w:val="clear" w:color="000000" w:fill="D8D8D8"/>
            <w:tcMar>
              <w:top w:w="14" w:type="dxa"/>
              <w:left w:w="14" w:type="dxa"/>
              <w:bottom w:w="0" w:type="dxa"/>
              <w:right w:w="14" w:type="dxa"/>
            </w:tcMar>
            <w:vAlign w:val="center"/>
            <w:hideMark/>
          </w:tcPr>
          <w:p w:rsidR="009C26D9" w:rsidRDefault="009C26D9">
            <w:pPr>
              <w:jc w:val="center"/>
              <w:rPr>
                <w:color w:val="000000"/>
                <w:szCs w:val="22"/>
              </w:rPr>
            </w:pPr>
            <w:r>
              <w:rPr>
                <w:color w:val="000000"/>
                <w:szCs w:val="22"/>
              </w:rPr>
              <w:t>Lifetime</w:t>
            </w:r>
            <w:r>
              <w:rPr>
                <w:color w:val="000000"/>
                <w:szCs w:val="22"/>
              </w:rPr>
              <w:br/>
              <w:t xml:space="preserve"> [years]</w:t>
            </w:r>
          </w:p>
        </w:tc>
        <w:tc>
          <w:tcPr>
            <w:tcW w:w="0" w:type="auto"/>
            <w:tcBorders>
              <w:top w:val="single" w:sz="4" w:space="0" w:color="7F7F7F"/>
              <w:left w:val="nil"/>
              <w:bottom w:val="single" w:sz="4" w:space="0" w:color="7F7F7F"/>
              <w:right w:val="nil"/>
            </w:tcBorders>
            <w:shd w:val="clear" w:color="000000" w:fill="D8D8D8"/>
            <w:tcMar>
              <w:top w:w="14" w:type="dxa"/>
              <w:left w:w="14" w:type="dxa"/>
              <w:bottom w:w="0" w:type="dxa"/>
              <w:right w:w="14" w:type="dxa"/>
            </w:tcMar>
            <w:vAlign w:val="center"/>
            <w:hideMark/>
          </w:tcPr>
          <w:p w:rsidR="009C26D9" w:rsidRDefault="009C26D9">
            <w:pPr>
              <w:jc w:val="center"/>
              <w:rPr>
                <w:color w:val="000000"/>
                <w:szCs w:val="22"/>
              </w:rPr>
            </w:pPr>
            <w:r>
              <w:rPr>
                <w:color w:val="000000"/>
                <w:szCs w:val="22"/>
              </w:rPr>
              <w:t>Invest. costs [EUR/kWh]</w:t>
            </w:r>
          </w:p>
        </w:tc>
        <w:tc>
          <w:tcPr>
            <w:tcW w:w="0" w:type="auto"/>
            <w:tcBorders>
              <w:top w:val="single" w:sz="4" w:space="0" w:color="7F7F7F"/>
              <w:left w:val="nil"/>
              <w:bottom w:val="single" w:sz="4" w:space="0" w:color="7F7F7F"/>
              <w:right w:val="nil"/>
            </w:tcBorders>
            <w:shd w:val="clear" w:color="000000" w:fill="D8D8D8"/>
            <w:tcMar>
              <w:top w:w="14" w:type="dxa"/>
              <w:left w:w="14" w:type="dxa"/>
              <w:bottom w:w="0" w:type="dxa"/>
              <w:right w:w="14" w:type="dxa"/>
            </w:tcMar>
            <w:vAlign w:val="center"/>
            <w:hideMark/>
          </w:tcPr>
          <w:p w:rsidR="009C26D9" w:rsidRDefault="009C26D9">
            <w:pPr>
              <w:jc w:val="center"/>
              <w:rPr>
                <w:color w:val="000000"/>
                <w:szCs w:val="22"/>
              </w:rPr>
            </w:pPr>
            <w:r>
              <w:rPr>
                <w:color w:val="000000"/>
                <w:szCs w:val="22"/>
              </w:rPr>
              <w:t>Diskont-factor</w:t>
            </w:r>
            <w:r>
              <w:rPr>
                <w:color w:val="000000"/>
                <w:szCs w:val="22"/>
              </w:rPr>
              <w:br/>
              <w:t>[%]</w:t>
            </w:r>
          </w:p>
        </w:tc>
        <w:tc>
          <w:tcPr>
            <w:tcW w:w="0" w:type="auto"/>
            <w:tcBorders>
              <w:top w:val="single" w:sz="4" w:space="0" w:color="7F7F7F"/>
              <w:left w:val="nil"/>
              <w:bottom w:val="single" w:sz="4" w:space="0" w:color="7F7F7F"/>
              <w:right w:val="nil"/>
            </w:tcBorders>
            <w:shd w:val="clear" w:color="000000" w:fill="D8D8D8"/>
            <w:tcMar>
              <w:top w:w="14" w:type="dxa"/>
              <w:left w:w="14" w:type="dxa"/>
              <w:bottom w:w="0" w:type="dxa"/>
              <w:right w:w="14" w:type="dxa"/>
            </w:tcMar>
            <w:vAlign w:val="center"/>
            <w:hideMark/>
          </w:tcPr>
          <w:p w:rsidR="009C26D9" w:rsidRDefault="009C26D9">
            <w:pPr>
              <w:jc w:val="center"/>
              <w:rPr>
                <w:color w:val="000000"/>
                <w:szCs w:val="22"/>
              </w:rPr>
            </w:pPr>
            <w:r>
              <w:rPr>
                <w:color w:val="000000"/>
                <w:szCs w:val="22"/>
              </w:rPr>
              <w:t>Operation costs [EUR/year]</w:t>
            </w:r>
          </w:p>
        </w:tc>
        <w:tc>
          <w:tcPr>
            <w:tcW w:w="0" w:type="auto"/>
            <w:tcBorders>
              <w:top w:val="single" w:sz="4" w:space="0" w:color="7F7F7F"/>
              <w:left w:val="nil"/>
              <w:bottom w:val="single" w:sz="4" w:space="0" w:color="7F7F7F"/>
              <w:right w:val="nil"/>
            </w:tcBorders>
            <w:shd w:val="clear" w:color="000000" w:fill="D8D8D8"/>
            <w:tcMar>
              <w:top w:w="14" w:type="dxa"/>
              <w:left w:w="14" w:type="dxa"/>
              <w:bottom w:w="0" w:type="dxa"/>
              <w:right w:w="14" w:type="dxa"/>
            </w:tcMar>
            <w:vAlign w:val="center"/>
            <w:hideMark/>
          </w:tcPr>
          <w:p w:rsidR="009C26D9" w:rsidRDefault="009C26D9">
            <w:pPr>
              <w:jc w:val="center"/>
              <w:rPr>
                <w:color w:val="000000"/>
                <w:szCs w:val="22"/>
              </w:rPr>
            </w:pPr>
            <w:r>
              <w:rPr>
                <w:color w:val="000000"/>
                <w:szCs w:val="22"/>
              </w:rPr>
              <w:t xml:space="preserve">Nominal Peak Power </w:t>
            </w:r>
            <w:r>
              <w:rPr>
                <w:color w:val="000000"/>
                <w:szCs w:val="22"/>
              </w:rPr>
              <w:br/>
              <w:t>[kWp]</w:t>
            </w:r>
          </w:p>
        </w:tc>
        <w:tc>
          <w:tcPr>
            <w:tcW w:w="0" w:type="auto"/>
            <w:tcBorders>
              <w:top w:val="single" w:sz="4" w:space="0" w:color="7F7F7F"/>
              <w:left w:val="nil"/>
              <w:bottom w:val="single" w:sz="4" w:space="0" w:color="7F7F7F"/>
              <w:right w:val="nil"/>
            </w:tcBorders>
            <w:shd w:val="clear" w:color="000000" w:fill="D8D8D8"/>
            <w:tcMar>
              <w:top w:w="14" w:type="dxa"/>
              <w:left w:w="14" w:type="dxa"/>
              <w:bottom w:w="0" w:type="dxa"/>
              <w:right w:w="14" w:type="dxa"/>
            </w:tcMar>
            <w:vAlign w:val="center"/>
            <w:hideMark/>
          </w:tcPr>
          <w:p w:rsidR="009C26D9" w:rsidRDefault="009C26D9">
            <w:pPr>
              <w:jc w:val="center"/>
              <w:rPr>
                <w:color w:val="000000"/>
                <w:szCs w:val="22"/>
              </w:rPr>
            </w:pPr>
            <w:r>
              <w:rPr>
                <w:color w:val="000000"/>
                <w:szCs w:val="22"/>
              </w:rPr>
              <w:t>Yield before losses [kWh/kWp]</w:t>
            </w:r>
          </w:p>
        </w:tc>
        <w:tc>
          <w:tcPr>
            <w:tcW w:w="0" w:type="auto"/>
            <w:tcBorders>
              <w:top w:val="single" w:sz="4" w:space="0" w:color="7F7F7F"/>
              <w:left w:val="nil"/>
              <w:bottom w:val="single" w:sz="4" w:space="0" w:color="7F7F7F"/>
              <w:right w:val="nil"/>
            </w:tcBorders>
            <w:shd w:val="clear" w:color="000000" w:fill="D8D8D8"/>
            <w:tcMar>
              <w:top w:w="14" w:type="dxa"/>
              <w:left w:w="14" w:type="dxa"/>
              <w:bottom w:w="0" w:type="dxa"/>
              <w:right w:w="14" w:type="dxa"/>
            </w:tcMar>
            <w:vAlign w:val="center"/>
            <w:hideMark/>
          </w:tcPr>
          <w:p w:rsidR="009C26D9" w:rsidRDefault="009C26D9">
            <w:pPr>
              <w:jc w:val="center"/>
              <w:rPr>
                <w:color w:val="000000"/>
                <w:szCs w:val="22"/>
              </w:rPr>
            </w:pPr>
            <w:r>
              <w:rPr>
                <w:color w:val="000000"/>
                <w:szCs w:val="22"/>
              </w:rPr>
              <w:t xml:space="preserve">System Efficiency </w:t>
            </w:r>
            <w:r>
              <w:rPr>
                <w:color w:val="000000"/>
                <w:szCs w:val="22"/>
              </w:rPr>
              <w:br/>
              <w:t>[%]</w:t>
            </w:r>
          </w:p>
        </w:tc>
        <w:tc>
          <w:tcPr>
            <w:tcW w:w="0" w:type="auto"/>
            <w:tcBorders>
              <w:top w:val="single" w:sz="4" w:space="0" w:color="7F7F7F"/>
              <w:left w:val="nil"/>
              <w:bottom w:val="single" w:sz="4" w:space="0" w:color="7F7F7F"/>
              <w:right w:val="single" w:sz="4" w:space="0" w:color="7F7F7F"/>
            </w:tcBorders>
            <w:shd w:val="clear" w:color="000000" w:fill="D8D8D8"/>
            <w:tcMar>
              <w:top w:w="14" w:type="dxa"/>
              <w:left w:w="14" w:type="dxa"/>
              <w:bottom w:w="0" w:type="dxa"/>
              <w:right w:w="14" w:type="dxa"/>
            </w:tcMar>
            <w:vAlign w:val="center"/>
            <w:hideMark/>
          </w:tcPr>
          <w:p w:rsidR="009C26D9" w:rsidRDefault="009C26D9">
            <w:pPr>
              <w:jc w:val="center"/>
              <w:rPr>
                <w:color w:val="000000"/>
                <w:szCs w:val="22"/>
              </w:rPr>
            </w:pPr>
            <w:r>
              <w:rPr>
                <w:color w:val="000000"/>
                <w:szCs w:val="22"/>
              </w:rPr>
              <w:t xml:space="preserve">Degeneration </w:t>
            </w:r>
            <w:r>
              <w:rPr>
                <w:color w:val="000000"/>
                <w:szCs w:val="22"/>
              </w:rPr>
              <w:br/>
              <w:t>[%]</w:t>
            </w:r>
          </w:p>
        </w:tc>
      </w:tr>
      <w:tr w:rsidR="009C26D9" w:rsidTr="009C26D9">
        <w:trPr>
          <w:trHeight w:val="300"/>
        </w:trPr>
        <w:tc>
          <w:tcPr>
            <w:tcW w:w="0" w:type="auto"/>
            <w:tcBorders>
              <w:top w:val="single" w:sz="4" w:space="0" w:color="7F7F7F"/>
              <w:left w:val="single" w:sz="4" w:space="0" w:color="7F7F7F"/>
              <w:bottom w:val="single" w:sz="4" w:space="0" w:color="7F7F7F"/>
              <w:right w:val="single" w:sz="4" w:space="0" w:color="auto"/>
            </w:tcBorders>
            <w:shd w:val="clear" w:color="auto" w:fill="auto"/>
            <w:noWrap/>
            <w:tcMar>
              <w:top w:w="14" w:type="dxa"/>
              <w:left w:w="14" w:type="dxa"/>
              <w:bottom w:w="0" w:type="dxa"/>
              <w:right w:w="14" w:type="dxa"/>
            </w:tcMar>
            <w:vAlign w:val="bottom"/>
            <w:hideMark/>
          </w:tcPr>
          <w:p w:rsidR="009C26D9" w:rsidRDefault="009C26D9">
            <w:pPr>
              <w:jc w:val="center"/>
              <w:rPr>
                <w:color w:val="000000"/>
                <w:szCs w:val="22"/>
              </w:rPr>
            </w:pPr>
            <w:r>
              <w:rPr>
                <w:color w:val="000000"/>
                <w:szCs w:val="22"/>
              </w:rPr>
              <w:t>25</w:t>
            </w:r>
          </w:p>
        </w:tc>
        <w:tc>
          <w:tcPr>
            <w:tcW w:w="0" w:type="auto"/>
            <w:tcBorders>
              <w:top w:val="single" w:sz="4" w:space="0" w:color="7F7F7F"/>
              <w:left w:val="single" w:sz="4" w:space="0" w:color="auto"/>
              <w:bottom w:val="single" w:sz="4" w:space="0" w:color="7F7F7F"/>
              <w:right w:val="single" w:sz="4" w:space="0" w:color="auto"/>
            </w:tcBorders>
            <w:shd w:val="clear" w:color="auto" w:fill="auto"/>
            <w:noWrap/>
            <w:tcMar>
              <w:top w:w="14" w:type="dxa"/>
              <w:left w:w="14" w:type="dxa"/>
              <w:bottom w:w="0" w:type="dxa"/>
              <w:right w:w="14" w:type="dxa"/>
            </w:tcMar>
            <w:vAlign w:val="bottom"/>
            <w:hideMark/>
          </w:tcPr>
          <w:p w:rsidR="009C26D9" w:rsidRDefault="009C26D9">
            <w:pPr>
              <w:jc w:val="center"/>
              <w:rPr>
                <w:color w:val="000000"/>
                <w:szCs w:val="22"/>
              </w:rPr>
            </w:pPr>
            <w:r>
              <w:rPr>
                <w:color w:val="000000"/>
                <w:szCs w:val="22"/>
              </w:rPr>
              <w:t>8700</w:t>
            </w:r>
          </w:p>
        </w:tc>
        <w:tc>
          <w:tcPr>
            <w:tcW w:w="0" w:type="auto"/>
            <w:tcBorders>
              <w:top w:val="single" w:sz="4" w:space="0" w:color="7F7F7F"/>
              <w:left w:val="single" w:sz="4" w:space="0" w:color="auto"/>
              <w:bottom w:val="single" w:sz="4" w:space="0" w:color="7F7F7F"/>
              <w:right w:val="single" w:sz="4" w:space="0" w:color="auto"/>
            </w:tcBorders>
            <w:shd w:val="clear" w:color="auto" w:fill="auto"/>
            <w:noWrap/>
            <w:tcMar>
              <w:top w:w="14" w:type="dxa"/>
              <w:left w:w="14" w:type="dxa"/>
              <w:bottom w:w="0" w:type="dxa"/>
              <w:right w:w="14" w:type="dxa"/>
            </w:tcMar>
            <w:vAlign w:val="bottom"/>
            <w:hideMark/>
          </w:tcPr>
          <w:p w:rsidR="009C26D9" w:rsidRDefault="009C26D9">
            <w:pPr>
              <w:jc w:val="center"/>
              <w:rPr>
                <w:szCs w:val="22"/>
              </w:rPr>
            </w:pPr>
            <w:r>
              <w:rPr>
                <w:szCs w:val="22"/>
              </w:rPr>
              <w:t>5</w:t>
            </w:r>
          </w:p>
        </w:tc>
        <w:tc>
          <w:tcPr>
            <w:tcW w:w="0" w:type="auto"/>
            <w:tcBorders>
              <w:top w:val="single" w:sz="4" w:space="0" w:color="7F7F7F"/>
              <w:left w:val="single" w:sz="4" w:space="0" w:color="auto"/>
              <w:bottom w:val="single" w:sz="4" w:space="0" w:color="7F7F7F"/>
              <w:right w:val="single" w:sz="4" w:space="0" w:color="auto"/>
            </w:tcBorders>
            <w:shd w:val="clear" w:color="auto" w:fill="auto"/>
            <w:noWrap/>
            <w:tcMar>
              <w:top w:w="14" w:type="dxa"/>
              <w:left w:w="14" w:type="dxa"/>
              <w:bottom w:w="0" w:type="dxa"/>
              <w:right w:w="14" w:type="dxa"/>
            </w:tcMar>
            <w:vAlign w:val="bottom"/>
            <w:hideMark/>
          </w:tcPr>
          <w:p w:rsidR="009C26D9" w:rsidRDefault="009C26D9">
            <w:pPr>
              <w:jc w:val="center"/>
              <w:rPr>
                <w:color w:val="000000"/>
                <w:szCs w:val="22"/>
              </w:rPr>
            </w:pPr>
            <w:r>
              <w:rPr>
                <w:color w:val="000000"/>
                <w:szCs w:val="22"/>
              </w:rPr>
              <w:t>90</w:t>
            </w:r>
          </w:p>
        </w:tc>
        <w:tc>
          <w:tcPr>
            <w:tcW w:w="0" w:type="auto"/>
            <w:tcBorders>
              <w:top w:val="single" w:sz="4" w:space="0" w:color="7F7F7F"/>
              <w:left w:val="single" w:sz="4" w:space="0" w:color="auto"/>
              <w:bottom w:val="single" w:sz="4" w:space="0" w:color="7F7F7F"/>
              <w:right w:val="single" w:sz="4" w:space="0" w:color="auto"/>
            </w:tcBorders>
            <w:shd w:val="clear" w:color="auto" w:fill="auto"/>
            <w:noWrap/>
            <w:tcMar>
              <w:top w:w="14" w:type="dxa"/>
              <w:left w:w="14" w:type="dxa"/>
              <w:bottom w:w="0" w:type="dxa"/>
              <w:right w:w="14" w:type="dxa"/>
            </w:tcMar>
            <w:vAlign w:val="bottom"/>
            <w:hideMark/>
          </w:tcPr>
          <w:p w:rsidR="009C26D9" w:rsidRDefault="009C26D9">
            <w:pPr>
              <w:jc w:val="center"/>
              <w:rPr>
                <w:color w:val="000000"/>
                <w:szCs w:val="22"/>
              </w:rPr>
            </w:pPr>
            <w:r>
              <w:rPr>
                <w:color w:val="000000"/>
                <w:szCs w:val="22"/>
              </w:rPr>
              <w:t>5</w:t>
            </w:r>
          </w:p>
        </w:tc>
        <w:tc>
          <w:tcPr>
            <w:tcW w:w="0" w:type="auto"/>
            <w:tcBorders>
              <w:top w:val="single" w:sz="4" w:space="0" w:color="7F7F7F"/>
              <w:left w:val="single" w:sz="4" w:space="0" w:color="auto"/>
              <w:bottom w:val="single" w:sz="4" w:space="0" w:color="7F7F7F"/>
              <w:right w:val="single" w:sz="4" w:space="0" w:color="auto"/>
            </w:tcBorders>
            <w:shd w:val="clear" w:color="auto" w:fill="auto"/>
            <w:noWrap/>
            <w:tcMar>
              <w:top w:w="14" w:type="dxa"/>
              <w:left w:w="14" w:type="dxa"/>
              <w:bottom w:w="0" w:type="dxa"/>
              <w:right w:w="14" w:type="dxa"/>
            </w:tcMar>
            <w:vAlign w:val="bottom"/>
            <w:hideMark/>
          </w:tcPr>
          <w:p w:rsidR="009C26D9" w:rsidRDefault="009C26D9">
            <w:pPr>
              <w:jc w:val="center"/>
              <w:rPr>
                <w:color w:val="000000"/>
                <w:szCs w:val="22"/>
              </w:rPr>
            </w:pPr>
            <w:r>
              <w:rPr>
                <w:color w:val="000000"/>
                <w:szCs w:val="22"/>
              </w:rPr>
              <w:t>1220</w:t>
            </w:r>
          </w:p>
        </w:tc>
        <w:tc>
          <w:tcPr>
            <w:tcW w:w="0" w:type="auto"/>
            <w:tcBorders>
              <w:top w:val="single" w:sz="4" w:space="0" w:color="7F7F7F"/>
              <w:left w:val="single" w:sz="4" w:space="0" w:color="auto"/>
              <w:bottom w:val="single" w:sz="4" w:space="0" w:color="7F7F7F"/>
              <w:right w:val="single" w:sz="4" w:space="0" w:color="auto"/>
            </w:tcBorders>
            <w:shd w:val="clear" w:color="auto" w:fill="auto"/>
            <w:noWrap/>
            <w:tcMar>
              <w:top w:w="14" w:type="dxa"/>
              <w:left w:w="14" w:type="dxa"/>
              <w:bottom w:w="0" w:type="dxa"/>
              <w:right w:w="14" w:type="dxa"/>
            </w:tcMar>
            <w:vAlign w:val="bottom"/>
            <w:hideMark/>
          </w:tcPr>
          <w:p w:rsidR="009C26D9" w:rsidRDefault="009C26D9">
            <w:pPr>
              <w:jc w:val="center"/>
              <w:rPr>
                <w:color w:val="000000"/>
                <w:szCs w:val="22"/>
              </w:rPr>
            </w:pPr>
            <w:r>
              <w:rPr>
                <w:color w:val="000000"/>
                <w:szCs w:val="22"/>
              </w:rPr>
              <w:t>85</w:t>
            </w:r>
          </w:p>
        </w:tc>
        <w:tc>
          <w:tcPr>
            <w:tcW w:w="0" w:type="auto"/>
            <w:tcBorders>
              <w:top w:val="nil"/>
              <w:left w:val="single" w:sz="4" w:space="0" w:color="auto"/>
              <w:bottom w:val="single" w:sz="4" w:space="0" w:color="7F7F7F"/>
              <w:right w:val="single" w:sz="4" w:space="0" w:color="7F7F7F"/>
            </w:tcBorders>
            <w:shd w:val="clear" w:color="auto" w:fill="auto"/>
            <w:noWrap/>
            <w:tcMar>
              <w:top w:w="14" w:type="dxa"/>
              <w:left w:w="14" w:type="dxa"/>
              <w:bottom w:w="0" w:type="dxa"/>
              <w:right w:w="14" w:type="dxa"/>
            </w:tcMar>
            <w:vAlign w:val="bottom"/>
            <w:hideMark/>
          </w:tcPr>
          <w:p w:rsidR="009C26D9" w:rsidRDefault="009C26D9">
            <w:pPr>
              <w:jc w:val="center"/>
              <w:rPr>
                <w:color w:val="000000"/>
                <w:szCs w:val="22"/>
              </w:rPr>
            </w:pPr>
            <w:r>
              <w:rPr>
                <w:color w:val="000000"/>
                <w:szCs w:val="22"/>
              </w:rPr>
              <w:t>0.71</w:t>
            </w:r>
          </w:p>
        </w:tc>
      </w:tr>
    </w:tbl>
    <w:p w:rsidR="00D641FB" w:rsidRPr="00E3425F" w:rsidRDefault="0088548E" w:rsidP="00E3425F">
      <w:pPr>
        <w:pStyle w:val="Beschriftung"/>
        <w:rPr>
          <w:color w:val="548DD4" w:themeColor="text2" w:themeTint="99"/>
          <w:lang w:val="en-GB"/>
        </w:rPr>
      </w:pPr>
      <w:r w:rsidRPr="00E3425F">
        <w:rPr>
          <w:color w:val="548DD4" w:themeColor="text2" w:themeTint="99"/>
          <w:lang w:val="en-GB"/>
        </w:rPr>
        <w:t xml:space="preserve">Table </w:t>
      </w:r>
      <w:r w:rsidR="00A008B9" w:rsidRPr="00E3425F">
        <w:rPr>
          <w:color w:val="548DD4" w:themeColor="text2" w:themeTint="99"/>
          <w:lang w:val="en-GB"/>
        </w:rPr>
        <w:fldChar w:fldCharType="begin"/>
      </w:r>
      <w:r w:rsidRPr="00E3425F">
        <w:rPr>
          <w:color w:val="548DD4" w:themeColor="text2" w:themeTint="99"/>
          <w:lang w:val="en-GB"/>
        </w:rPr>
        <w:instrText xml:space="preserve"> SEQ Table \* ARABIC </w:instrText>
      </w:r>
      <w:r w:rsidR="00A008B9" w:rsidRPr="00E3425F">
        <w:rPr>
          <w:color w:val="548DD4" w:themeColor="text2" w:themeTint="99"/>
          <w:lang w:val="en-GB"/>
        </w:rPr>
        <w:fldChar w:fldCharType="separate"/>
      </w:r>
      <w:r w:rsidRPr="00E3425F">
        <w:rPr>
          <w:noProof/>
          <w:color w:val="548DD4" w:themeColor="text2" w:themeTint="99"/>
          <w:lang w:val="en-GB"/>
        </w:rPr>
        <w:t>1</w:t>
      </w:r>
      <w:r w:rsidR="00A008B9" w:rsidRPr="00E3425F">
        <w:rPr>
          <w:color w:val="548DD4" w:themeColor="text2" w:themeTint="99"/>
          <w:lang w:val="en-GB"/>
        </w:rPr>
        <w:fldChar w:fldCharType="end"/>
      </w:r>
      <w:r w:rsidRPr="00E3425F">
        <w:rPr>
          <w:color w:val="548DD4" w:themeColor="text2" w:themeTint="99"/>
          <w:lang w:val="en-GB"/>
        </w:rPr>
        <w:t xml:space="preserve">: </w:t>
      </w:r>
      <w:r w:rsidR="00A34156" w:rsidRPr="00E3425F">
        <w:rPr>
          <w:color w:val="548DD4" w:themeColor="text2" w:themeTint="99"/>
          <w:lang w:val="en-GB"/>
        </w:rPr>
        <w:t>Example i</w:t>
      </w:r>
      <w:r w:rsidRPr="00E3425F">
        <w:rPr>
          <w:color w:val="548DD4" w:themeColor="text2" w:themeTint="99"/>
          <w:lang w:val="en-GB"/>
        </w:rPr>
        <w:t>nput data for calculating the cost of electricity generation</w:t>
      </w:r>
      <w:r w:rsidR="00B327CC" w:rsidRPr="00E3425F">
        <w:rPr>
          <w:color w:val="548DD4" w:themeColor="text2" w:themeTint="99"/>
          <w:lang w:val="en-GB"/>
        </w:rPr>
        <w:t xml:space="preserve"> for</w:t>
      </w:r>
      <w:r w:rsidR="00D33179" w:rsidRPr="00E3425F">
        <w:rPr>
          <w:color w:val="548DD4" w:themeColor="text2" w:themeTint="99"/>
          <w:lang w:val="en-GB"/>
        </w:rPr>
        <w:t xml:space="preserve"> </w:t>
      </w:r>
      <w:r w:rsidR="00B327CC" w:rsidRPr="00E3425F">
        <w:rPr>
          <w:color w:val="548DD4" w:themeColor="text2" w:themeTint="99"/>
          <w:lang w:val="en-GB"/>
        </w:rPr>
        <w:t>Austria</w:t>
      </w:r>
    </w:p>
    <w:tbl>
      <w:tblPr>
        <w:tblW w:w="8948" w:type="dxa"/>
        <w:tblInd w:w="58" w:type="dxa"/>
        <w:tblCellMar>
          <w:left w:w="70" w:type="dxa"/>
          <w:right w:w="70" w:type="dxa"/>
        </w:tblCellMar>
        <w:tblLook w:val="04A0"/>
      </w:tblPr>
      <w:tblGrid>
        <w:gridCol w:w="911"/>
        <w:gridCol w:w="1204"/>
        <w:gridCol w:w="947"/>
        <w:gridCol w:w="1192"/>
        <w:gridCol w:w="947"/>
        <w:gridCol w:w="1204"/>
        <w:gridCol w:w="1082"/>
        <w:gridCol w:w="1461"/>
      </w:tblGrid>
      <w:tr w:rsidR="00A34156" w:rsidRPr="00A34156" w:rsidTr="00A34156">
        <w:trPr>
          <w:trHeight w:val="896"/>
        </w:trPr>
        <w:tc>
          <w:tcPr>
            <w:tcW w:w="0" w:type="auto"/>
            <w:tcBorders>
              <w:top w:val="single" w:sz="4" w:space="0" w:color="7F7F7F"/>
              <w:left w:val="single" w:sz="4" w:space="0" w:color="7F7F7F"/>
              <w:bottom w:val="single" w:sz="4" w:space="0" w:color="7F7F7F"/>
              <w:right w:val="nil"/>
            </w:tcBorders>
            <w:shd w:val="clear" w:color="000000" w:fill="D8D8D8"/>
            <w:vAlign w:val="center"/>
            <w:hideMark/>
          </w:tcPr>
          <w:p w:rsidR="00A34156" w:rsidRPr="00A34156" w:rsidRDefault="00A34156" w:rsidP="00A62E22">
            <w:pPr>
              <w:spacing w:before="0" w:after="0" w:line="240" w:lineRule="auto"/>
              <w:rPr>
                <w:rFonts w:eastAsia="Times New Roman"/>
                <w:color w:val="000000"/>
                <w:szCs w:val="22"/>
                <w:lang w:val="et-EE" w:eastAsia="et-EE"/>
              </w:rPr>
            </w:pPr>
            <w:r w:rsidRPr="00A34156">
              <w:rPr>
                <w:rFonts w:eastAsia="Times New Roman"/>
                <w:color w:val="000000"/>
                <w:szCs w:val="22"/>
                <w:lang w:val="et-EE" w:eastAsia="et-EE"/>
              </w:rPr>
              <w:t>Lifetime</w:t>
            </w:r>
            <w:r w:rsidR="00A62E22">
              <w:rPr>
                <w:rFonts w:eastAsia="Times New Roman"/>
                <w:color w:val="000000"/>
                <w:szCs w:val="22"/>
                <w:lang w:val="et-EE" w:eastAsia="et-EE"/>
              </w:rPr>
              <w:t xml:space="preserve">      </w:t>
            </w:r>
            <w:r w:rsidRPr="00A34156">
              <w:rPr>
                <w:rFonts w:eastAsia="Times New Roman"/>
                <w:color w:val="000000"/>
                <w:szCs w:val="22"/>
                <w:lang w:val="et-EE" w:eastAsia="et-EE"/>
              </w:rPr>
              <w:t xml:space="preserve"> </w:t>
            </w:r>
            <w:r w:rsidR="00A62E22">
              <w:rPr>
                <w:rFonts w:eastAsia="Times New Roman"/>
                <w:color w:val="000000"/>
                <w:szCs w:val="22"/>
                <w:lang w:val="et-EE" w:eastAsia="et-EE"/>
              </w:rPr>
              <w:t xml:space="preserve">   </w:t>
            </w:r>
            <w:r w:rsidRPr="00A34156">
              <w:rPr>
                <w:rFonts w:eastAsia="Times New Roman"/>
                <w:color w:val="000000"/>
                <w:szCs w:val="22"/>
                <w:lang w:val="et-EE" w:eastAsia="et-EE"/>
              </w:rPr>
              <w:t>[years]</w:t>
            </w:r>
          </w:p>
        </w:tc>
        <w:tc>
          <w:tcPr>
            <w:tcW w:w="0" w:type="auto"/>
            <w:tcBorders>
              <w:top w:val="single" w:sz="4" w:space="0" w:color="7F7F7F"/>
              <w:left w:val="nil"/>
              <w:bottom w:val="single" w:sz="4" w:space="0" w:color="7F7F7F"/>
              <w:right w:val="nil"/>
            </w:tcBorders>
            <w:shd w:val="clear" w:color="000000" w:fill="D8D8D8"/>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Invest. costs [CZK/kWh]</w:t>
            </w:r>
          </w:p>
        </w:tc>
        <w:tc>
          <w:tcPr>
            <w:tcW w:w="0" w:type="auto"/>
            <w:tcBorders>
              <w:top w:val="single" w:sz="4" w:space="0" w:color="7F7F7F"/>
              <w:left w:val="nil"/>
              <w:bottom w:val="single" w:sz="4" w:space="0" w:color="7F7F7F"/>
              <w:right w:val="nil"/>
            </w:tcBorders>
            <w:shd w:val="clear" w:color="000000" w:fill="D8D8D8"/>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Diskont-factor</w:t>
            </w:r>
            <w:r w:rsidRPr="00A34156">
              <w:rPr>
                <w:rFonts w:eastAsia="Times New Roman"/>
                <w:color w:val="000000"/>
                <w:szCs w:val="22"/>
                <w:lang w:val="et-EE" w:eastAsia="et-EE"/>
              </w:rPr>
              <w:br/>
              <w:t>[%]</w:t>
            </w:r>
          </w:p>
        </w:tc>
        <w:tc>
          <w:tcPr>
            <w:tcW w:w="0" w:type="auto"/>
            <w:tcBorders>
              <w:top w:val="single" w:sz="4" w:space="0" w:color="7F7F7F"/>
              <w:left w:val="nil"/>
              <w:bottom w:val="single" w:sz="4" w:space="0" w:color="7F7F7F"/>
              <w:right w:val="nil"/>
            </w:tcBorders>
            <w:shd w:val="clear" w:color="000000" w:fill="D8D8D8"/>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Operation costs [CZK/year]</w:t>
            </w:r>
          </w:p>
        </w:tc>
        <w:tc>
          <w:tcPr>
            <w:tcW w:w="0" w:type="auto"/>
            <w:tcBorders>
              <w:top w:val="single" w:sz="4" w:space="0" w:color="7F7F7F"/>
              <w:left w:val="nil"/>
              <w:bottom w:val="single" w:sz="4" w:space="0" w:color="7F7F7F"/>
              <w:right w:val="nil"/>
            </w:tcBorders>
            <w:shd w:val="clear" w:color="000000" w:fill="D8D8D8"/>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 xml:space="preserve">Nominal Peak Power </w:t>
            </w:r>
            <w:r w:rsidRPr="00A34156">
              <w:rPr>
                <w:rFonts w:eastAsia="Times New Roman"/>
                <w:color w:val="000000"/>
                <w:szCs w:val="22"/>
                <w:lang w:val="et-EE" w:eastAsia="et-EE"/>
              </w:rPr>
              <w:br/>
              <w:t>[kWp]</w:t>
            </w:r>
          </w:p>
        </w:tc>
        <w:tc>
          <w:tcPr>
            <w:tcW w:w="0" w:type="auto"/>
            <w:tcBorders>
              <w:top w:val="single" w:sz="4" w:space="0" w:color="7F7F7F"/>
              <w:left w:val="nil"/>
              <w:bottom w:val="single" w:sz="4" w:space="0" w:color="7F7F7F"/>
              <w:right w:val="nil"/>
            </w:tcBorders>
            <w:shd w:val="clear" w:color="000000" w:fill="D8D8D8"/>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Yield before losses [kWh/kWp]</w:t>
            </w:r>
          </w:p>
        </w:tc>
        <w:tc>
          <w:tcPr>
            <w:tcW w:w="0" w:type="auto"/>
            <w:tcBorders>
              <w:top w:val="single" w:sz="4" w:space="0" w:color="7F7F7F"/>
              <w:left w:val="nil"/>
              <w:bottom w:val="single" w:sz="4" w:space="0" w:color="7F7F7F"/>
              <w:right w:val="nil"/>
            </w:tcBorders>
            <w:shd w:val="clear" w:color="000000" w:fill="D8D8D8"/>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 xml:space="preserve">System Efficiency </w:t>
            </w:r>
            <w:r w:rsidRPr="00A34156">
              <w:rPr>
                <w:rFonts w:eastAsia="Times New Roman"/>
                <w:color w:val="000000"/>
                <w:szCs w:val="22"/>
                <w:lang w:val="et-EE" w:eastAsia="et-EE"/>
              </w:rPr>
              <w:br/>
              <w:t>[%]</w:t>
            </w:r>
          </w:p>
        </w:tc>
        <w:tc>
          <w:tcPr>
            <w:tcW w:w="0" w:type="auto"/>
            <w:tcBorders>
              <w:top w:val="single" w:sz="4" w:space="0" w:color="7F7F7F"/>
              <w:left w:val="nil"/>
              <w:bottom w:val="single" w:sz="4" w:space="0" w:color="7F7F7F"/>
              <w:right w:val="single" w:sz="4" w:space="0" w:color="7F7F7F"/>
            </w:tcBorders>
            <w:shd w:val="clear" w:color="000000" w:fill="D8D8D8"/>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 xml:space="preserve">Degeneration </w:t>
            </w:r>
            <w:r w:rsidRPr="00A34156">
              <w:rPr>
                <w:rFonts w:eastAsia="Times New Roman"/>
                <w:color w:val="000000"/>
                <w:szCs w:val="22"/>
                <w:lang w:val="et-EE" w:eastAsia="et-EE"/>
              </w:rPr>
              <w:br/>
              <w:t>[%]</w:t>
            </w:r>
          </w:p>
        </w:tc>
      </w:tr>
      <w:tr w:rsidR="00A34156" w:rsidRPr="00A34156" w:rsidTr="00A34156">
        <w:trPr>
          <w:trHeight w:val="691"/>
        </w:trPr>
        <w:tc>
          <w:tcPr>
            <w:tcW w:w="0" w:type="auto"/>
            <w:tcBorders>
              <w:top w:val="nil"/>
              <w:left w:val="single" w:sz="4" w:space="0" w:color="7F7F7F"/>
              <w:bottom w:val="single" w:sz="4" w:space="0" w:color="7F7F7F"/>
              <w:right w:val="single" w:sz="4" w:space="0" w:color="auto"/>
            </w:tcBorders>
            <w:shd w:val="clear" w:color="auto" w:fill="auto"/>
            <w:noWrap/>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25</w:t>
            </w:r>
          </w:p>
        </w:tc>
        <w:tc>
          <w:tcPr>
            <w:tcW w:w="0" w:type="auto"/>
            <w:tcBorders>
              <w:top w:val="nil"/>
              <w:left w:val="single" w:sz="4" w:space="0" w:color="auto"/>
              <w:bottom w:val="single" w:sz="4" w:space="0" w:color="7F7F7F"/>
              <w:right w:val="single" w:sz="4" w:space="0" w:color="auto"/>
            </w:tcBorders>
            <w:shd w:val="clear" w:color="auto" w:fill="auto"/>
            <w:noWrap/>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217700</w:t>
            </w:r>
          </w:p>
        </w:tc>
        <w:tc>
          <w:tcPr>
            <w:tcW w:w="0" w:type="auto"/>
            <w:tcBorders>
              <w:top w:val="nil"/>
              <w:left w:val="single" w:sz="4" w:space="0" w:color="auto"/>
              <w:bottom w:val="single" w:sz="4" w:space="0" w:color="7F7F7F"/>
              <w:right w:val="single" w:sz="4" w:space="0" w:color="auto"/>
            </w:tcBorders>
            <w:shd w:val="clear" w:color="auto" w:fill="auto"/>
            <w:noWrap/>
            <w:vAlign w:val="center"/>
            <w:hideMark/>
          </w:tcPr>
          <w:p w:rsidR="00A34156" w:rsidRPr="00A34156" w:rsidRDefault="00A34156" w:rsidP="00A34156">
            <w:pPr>
              <w:spacing w:before="0" w:after="0" w:line="240" w:lineRule="auto"/>
              <w:jc w:val="center"/>
              <w:rPr>
                <w:rFonts w:eastAsia="Times New Roman"/>
                <w:szCs w:val="22"/>
                <w:lang w:val="et-EE" w:eastAsia="et-EE"/>
              </w:rPr>
            </w:pPr>
            <w:r w:rsidRPr="00A34156">
              <w:rPr>
                <w:rFonts w:eastAsia="Times New Roman"/>
                <w:szCs w:val="22"/>
                <w:lang w:val="et-EE" w:eastAsia="et-EE"/>
              </w:rPr>
              <w:t>5</w:t>
            </w:r>
          </w:p>
        </w:tc>
        <w:tc>
          <w:tcPr>
            <w:tcW w:w="0" w:type="auto"/>
            <w:tcBorders>
              <w:top w:val="nil"/>
              <w:left w:val="single" w:sz="4" w:space="0" w:color="auto"/>
              <w:bottom w:val="single" w:sz="4" w:space="0" w:color="7F7F7F"/>
              <w:right w:val="single" w:sz="4" w:space="0" w:color="auto"/>
            </w:tcBorders>
            <w:shd w:val="clear" w:color="auto" w:fill="auto"/>
            <w:noWrap/>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2180</w:t>
            </w:r>
          </w:p>
        </w:tc>
        <w:tc>
          <w:tcPr>
            <w:tcW w:w="0" w:type="auto"/>
            <w:tcBorders>
              <w:top w:val="nil"/>
              <w:left w:val="single" w:sz="4" w:space="0" w:color="auto"/>
              <w:bottom w:val="single" w:sz="4" w:space="0" w:color="7F7F7F"/>
              <w:right w:val="single" w:sz="4" w:space="0" w:color="auto"/>
            </w:tcBorders>
            <w:shd w:val="clear" w:color="auto" w:fill="auto"/>
            <w:noWrap/>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5</w:t>
            </w:r>
          </w:p>
        </w:tc>
        <w:tc>
          <w:tcPr>
            <w:tcW w:w="0" w:type="auto"/>
            <w:tcBorders>
              <w:top w:val="nil"/>
              <w:left w:val="single" w:sz="4" w:space="0" w:color="auto"/>
              <w:bottom w:val="single" w:sz="4" w:space="0" w:color="7F7F7F"/>
              <w:right w:val="single" w:sz="4" w:space="0" w:color="auto"/>
            </w:tcBorders>
            <w:shd w:val="clear" w:color="auto" w:fill="auto"/>
            <w:noWrap/>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1130</w:t>
            </w:r>
          </w:p>
        </w:tc>
        <w:tc>
          <w:tcPr>
            <w:tcW w:w="0" w:type="auto"/>
            <w:tcBorders>
              <w:top w:val="nil"/>
              <w:left w:val="single" w:sz="4" w:space="0" w:color="auto"/>
              <w:bottom w:val="single" w:sz="4" w:space="0" w:color="7F7F7F"/>
              <w:right w:val="single" w:sz="4" w:space="0" w:color="auto"/>
            </w:tcBorders>
            <w:shd w:val="clear" w:color="auto" w:fill="auto"/>
            <w:noWrap/>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85</w:t>
            </w:r>
          </w:p>
        </w:tc>
        <w:tc>
          <w:tcPr>
            <w:tcW w:w="0" w:type="auto"/>
            <w:tcBorders>
              <w:top w:val="nil"/>
              <w:left w:val="single" w:sz="4" w:space="0" w:color="auto"/>
              <w:bottom w:val="single" w:sz="4" w:space="0" w:color="7F7F7F"/>
              <w:right w:val="single" w:sz="4" w:space="0" w:color="7F7F7F"/>
            </w:tcBorders>
            <w:shd w:val="clear" w:color="auto" w:fill="auto"/>
            <w:noWrap/>
            <w:vAlign w:val="center"/>
            <w:hideMark/>
          </w:tcPr>
          <w:p w:rsidR="00A34156" w:rsidRPr="00A34156" w:rsidRDefault="00A34156" w:rsidP="00A34156">
            <w:pPr>
              <w:spacing w:before="0" w:after="0" w:line="240" w:lineRule="auto"/>
              <w:jc w:val="center"/>
              <w:rPr>
                <w:rFonts w:eastAsia="Times New Roman"/>
                <w:color w:val="000000"/>
                <w:szCs w:val="22"/>
                <w:lang w:val="et-EE" w:eastAsia="et-EE"/>
              </w:rPr>
            </w:pPr>
            <w:r w:rsidRPr="00A34156">
              <w:rPr>
                <w:rFonts w:eastAsia="Times New Roman"/>
                <w:color w:val="000000"/>
                <w:szCs w:val="22"/>
                <w:lang w:val="et-EE" w:eastAsia="et-EE"/>
              </w:rPr>
              <w:t>0.71</w:t>
            </w:r>
          </w:p>
        </w:tc>
      </w:tr>
    </w:tbl>
    <w:p w:rsidR="00A34156" w:rsidRPr="00E3425F" w:rsidRDefault="00A34156" w:rsidP="00A34156">
      <w:pPr>
        <w:pStyle w:val="Beschriftung"/>
        <w:rPr>
          <w:color w:val="548DD4" w:themeColor="text2" w:themeTint="99"/>
          <w:lang w:val="en-GB"/>
        </w:rPr>
      </w:pPr>
      <w:r w:rsidRPr="00E3425F">
        <w:rPr>
          <w:color w:val="548DD4" w:themeColor="text2" w:themeTint="99"/>
          <w:lang w:val="en-GB"/>
        </w:rPr>
        <w:t>Table 2: Example input data for calculating the cost of electricity generation for the Czech Republic</w:t>
      </w:r>
    </w:p>
    <w:p w:rsidR="00A34156" w:rsidRDefault="00A34156" w:rsidP="00D641FB">
      <w:pPr>
        <w:rPr>
          <w:szCs w:val="16"/>
          <w:lang w:val="en-GB"/>
        </w:rPr>
      </w:pPr>
      <w:r>
        <w:rPr>
          <w:szCs w:val="16"/>
          <w:lang w:val="en-GB"/>
        </w:rPr>
        <w:t>The calculation in detail is showed for Austria in Table 3</w:t>
      </w:r>
      <w:r w:rsidR="00E3425F">
        <w:rPr>
          <w:szCs w:val="16"/>
          <w:lang w:val="en-GB"/>
        </w:rPr>
        <w:t>. The result for the</w:t>
      </w:r>
      <w:r>
        <w:rPr>
          <w:szCs w:val="16"/>
          <w:lang w:val="en-GB"/>
        </w:rPr>
        <w:t xml:space="preserve"> LCOE is </w:t>
      </w:r>
      <w:r w:rsidR="00E3425F">
        <w:rPr>
          <w:szCs w:val="16"/>
          <w:lang w:val="en-GB"/>
        </w:rPr>
        <w:br/>
      </w:r>
      <w:r>
        <w:rPr>
          <w:szCs w:val="16"/>
          <w:lang w:val="en-GB"/>
        </w:rPr>
        <w:t>14</w:t>
      </w:r>
      <w:r w:rsidR="00E3425F">
        <w:rPr>
          <w:szCs w:val="16"/>
          <w:lang w:val="en-GB"/>
        </w:rPr>
        <w:t>.6</w:t>
      </w:r>
      <w:r>
        <w:rPr>
          <w:szCs w:val="16"/>
          <w:lang w:val="en-GB"/>
        </w:rPr>
        <w:t xml:space="preserve"> cent/kWh. For the Czech Republic the calculation were carried out similarly and the computed LCOE is </w:t>
      </w:r>
      <w:r w:rsidR="00E3425F">
        <w:rPr>
          <w:szCs w:val="16"/>
          <w:lang w:val="en-GB"/>
        </w:rPr>
        <w:t>3.92 CZK/kWh.</w:t>
      </w:r>
    </w:p>
    <w:p w:rsidR="00A34156" w:rsidRDefault="00A34156" w:rsidP="00A34156">
      <w:pPr>
        <w:rPr>
          <w:szCs w:val="16"/>
          <w:lang w:val="en-GB"/>
        </w:rPr>
      </w:pPr>
      <w:r w:rsidRPr="001E3FA2">
        <w:rPr>
          <w:szCs w:val="16"/>
          <w:lang w:val="en-GB"/>
        </w:rPr>
        <w:t>Comparing the LCOE with the</w:t>
      </w:r>
      <w:r>
        <w:rPr>
          <w:szCs w:val="16"/>
          <w:lang w:val="en-GB"/>
        </w:rPr>
        <w:t xml:space="preserve"> average</w:t>
      </w:r>
      <w:r w:rsidRPr="001E3FA2">
        <w:rPr>
          <w:szCs w:val="16"/>
          <w:lang w:val="en-GB"/>
        </w:rPr>
        <w:t xml:space="preserve"> price of purchasing energy from the grid</w:t>
      </w:r>
      <w:r w:rsidR="00E3425F">
        <w:rPr>
          <w:szCs w:val="16"/>
          <w:lang w:val="en-GB"/>
        </w:rPr>
        <w:t xml:space="preserve"> in Austria, 20.0 cent/kWh (</w:t>
      </w:r>
      <w:r>
        <w:rPr>
          <w:szCs w:val="16"/>
          <w:lang w:val="en-GB"/>
        </w:rPr>
        <w:t>EUROSTAT)</w:t>
      </w:r>
      <w:r w:rsidR="00E3425F">
        <w:rPr>
          <w:szCs w:val="16"/>
          <w:lang w:val="en-GB"/>
        </w:rPr>
        <w:t>,</w:t>
      </w:r>
      <w:r w:rsidRPr="001E3FA2">
        <w:rPr>
          <w:szCs w:val="16"/>
          <w:lang w:val="en-GB"/>
        </w:rPr>
        <w:t xml:space="preserve"> sho</w:t>
      </w:r>
      <w:r>
        <w:rPr>
          <w:szCs w:val="16"/>
          <w:lang w:val="en-GB"/>
        </w:rPr>
        <w:t>ws that grid parity is reached</w:t>
      </w:r>
      <w:r w:rsidR="00E3425F">
        <w:rPr>
          <w:szCs w:val="16"/>
          <w:lang w:val="en-GB"/>
        </w:rPr>
        <w:t xml:space="preserve"> in this example</w:t>
      </w:r>
      <w:r>
        <w:rPr>
          <w:szCs w:val="16"/>
          <w:lang w:val="en-GB"/>
        </w:rPr>
        <w:t xml:space="preserve">. </w:t>
      </w:r>
      <w:r w:rsidR="00E3425F">
        <w:rPr>
          <w:szCs w:val="16"/>
          <w:lang w:val="en-GB"/>
        </w:rPr>
        <w:t>Also in the Czech Republic there is grid parity for an average retail price of 4.</w:t>
      </w:r>
      <w:r w:rsidR="00E3425F" w:rsidRPr="00E3425F">
        <w:rPr>
          <w:szCs w:val="16"/>
          <w:lang w:val="en-GB"/>
        </w:rPr>
        <w:t>75 CZK</w:t>
      </w:r>
      <w:r w:rsidR="00E3425F">
        <w:rPr>
          <w:szCs w:val="16"/>
          <w:lang w:val="en-GB"/>
        </w:rPr>
        <w:t>/kWh in Prague.</w:t>
      </w:r>
    </w:p>
    <w:p w:rsidR="00D641FB" w:rsidRPr="004D72C0" w:rsidRDefault="00D641FB" w:rsidP="004D72C0">
      <w:pPr>
        <w:rPr>
          <w:lang w:val="en-GB"/>
        </w:rPr>
      </w:pPr>
    </w:p>
    <w:tbl>
      <w:tblPr>
        <w:tblW w:w="7880" w:type="dxa"/>
        <w:tblCellMar>
          <w:left w:w="70" w:type="dxa"/>
          <w:right w:w="70" w:type="dxa"/>
        </w:tblCellMar>
        <w:tblLook w:val="04A0"/>
      </w:tblPr>
      <w:tblGrid>
        <w:gridCol w:w="680"/>
        <w:gridCol w:w="1800"/>
        <w:gridCol w:w="1800"/>
        <w:gridCol w:w="1800"/>
        <w:gridCol w:w="1800"/>
      </w:tblGrid>
      <w:tr w:rsidR="00D80629" w:rsidRPr="00D80629" w:rsidTr="00A62E22">
        <w:trPr>
          <w:trHeight w:val="930"/>
        </w:trPr>
        <w:tc>
          <w:tcPr>
            <w:tcW w:w="680" w:type="dxa"/>
            <w:tcBorders>
              <w:top w:val="single" w:sz="4" w:space="0" w:color="7F7F7F"/>
              <w:left w:val="single" w:sz="4" w:space="0" w:color="7F7F7F"/>
              <w:bottom w:val="nil"/>
              <w:right w:val="nil"/>
            </w:tcBorders>
            <w:shd w:val="clear" w:color="000000" w:fill="D8D8D8"/>
            <w:vAlign w:val="center"/>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Year</w:t>
            </w:r>
          </w:p>
        </w:tc>
        <w:tc>
          <w:tcPr>
            <w:tcW w:w="1800" w:type="dxa"/>
            <w:tcBorders>
              <w:top w:val="single" w:sz="4" w:space="0" w:color="7F7F7F"/>
              <w:left w:val="nil"/>
              <w:bottom w:val="nil"/>
              <w:right w:val="nil"/>
            </w:tcBorders>
            <w:shd w:val="clear" w:color="000000" w:fill="D8D8D8"/>
            <w:vAlign w:val="center"/>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 xml:space="preserve">Power </w:t>
            </w:r>
            <w:r w:rsidRPr="00D80629">
              <w:rPr>
                <w:rFonts w:ascii="Calibri" w:eastAsia="Times New Roman" w:hAnsi="Calibri"/>
                <w:color w:val="000000"/>
                <w:szCs w:val="22"/>
                <w:lang w:val="et-EE" w:eastAsia="et-EE"/>
              </w:rPr>
              <w:br/>
              <w:t>[kW]</w:t>
            </w:r>
          </w:p>
        </w:tc>
        <w:tc>
          <w:tcPr>
            <w:tcW w:w="1800" w:type="dxa"/>
            <w:tcBorders>
              <w:top w:val="single" w:sz="4" w:space="0" w:color="7F7F7F"/>
              <w:left w:val="nil"/>
              <w:bottom w:val="nil"/>
              <w:right w:val="nil"/>
            </w:tcBorders>
            <w:shd w:val="clear" w:color="000000" w:fill="D8D8D8"/>
            <w:vAlign w:val="center"/>
            <w:hideMark/>
          </w:tcPr>
          <w:p w:rsidR="00D80629" w:rsidRPr="00D80629" w:rsidRDefault="007A2DF9" w:rsidP="00D80629">
            <w:pPr>
              <w:spacing w:before="0" w:after="0" w:line="240" w:lineRule="auto"/>
              <w:jc w:val="center"/>
              <w:rPr>
                <w:rFonts w:ascii="Calibri" w:eastAsia="Times New Roman" w:hAnsi="Calibri"/>
                <w:color w:val="000000"/>
                <w:szCs w:val="22"/>
                <w:lang w:val="et-EE" w:eastAsia="et-EE"/>
              </w:rPr>
            </w:pPr>
            <w:r>
              <w:rPr>
                <w:rFonts w:ascii="Calibri" w:eastAsia="Times New Roman" w:hAnsi="Calibri"/>
                <w:color w:val="000000"/>
                <w:szCs w:val="22"/>
                <w:lang w:val="et-EE" w:eastAsia="et-EE"/>
              </w:rPr>
              <w:t>Production [kWh</w:t>
            </w:r>
            <w:r w:rsidR="00D80629" w:rsidRPr="00D80629">
              <w:rPr>
                <w:rFonts w:ascii="Calibri" w:eastAsia="Times New Roman" w:hAnsi="Calibri"/>
                <w:color w:val="000000"/>
                <w:szCs w:val="22"/>
                <w:lang w:val="et-EE" w:eastAsia="et-EE"/>
              </w:rPr>
              <w:t>]</w:t>
            </w:r>
          </w:p>
        </w:tc>
        <w:tc>
          <w:tcPr>
            <w:tcW w:w="1800" w:type="dxa"/>
            <w:tcBorders>
              <w:top w:val="single" w:sz="4" w:space="0" w:color="7F7F7F"/>
              <w:left w:val="nil"/>
              <w:bottom w:val="nil"/>
              <w:right w:val="nil"/>
            </w:tcBorders>
            <w:shd w:val="clear" w:color="000000" w:fill="D8D8D8"/>
            <w:vAlign w:val="center"/>
            <w:hideMark/>
          </w:tcPr>
          <w:p w:rsidR="00D80629" w:rsidRPr="00D80629" w:rsidRDefault="007A2DF9" w:rsidP="00D80629">
            <w:pPr>
              <w:spacing w:before="0" w:after="0" w:line="240" w:lineRule="auto"/>
              <w:jc w:val="center"/>
              <w:rPr>
                <w:rFonts w:ascii="Calibri" w:eastAsia="Times New Roman" w:hAnsi="Calibri"/>
                <w:color w:val="000000"/>
                <w:szCs w:val="22"/>
                <w:lang w:val="et-EE" w:eastAsia="et-EE"/>
              </w:rPr>
            </w:pPr>
            <w:r>
              <w:rPr>
                <w:rFonts w:ascii="Calibri" w:eastAsia="Times New Roman" w:hAnsi="Calibri"/>
                <w:color w:val="000000"/>
                <w:szCs w:val="22"/>
                <w:lang w:val="et-EE" w:eastAsia="et-EE"/>
              </w:rPr>
              <w:t xml:space="preserve"> Production discounted [kWh</w:t>
            </w:r>
            <w:r w:rsidR="00D80629" w:rsidRPr="00D80629">
              <w:rPr>
                <w:rFonts w:ascii="Calibri" w:eastAsia="Times New Roman" w:hAnsi="Calibri"/>
                <w:color w:val="000000"/>
                <w:szCs w:val="22"/>
                <w:lang w:val="et-EE" w:eastAsia="et-EE"/>
              </w:rPr>
              <w:t>]</w:t>
            </w:r>
          </w:p>
        </w:tc>
        <w:tc>
          <w:tcPr>
            <w:tcW w:w="1800" w:type="dxa"/>
            <w:tcBorders>
              <w:top w:val="single" w:sz="4" w:space="0" w:color="7F7F7F"/>
              <w:left w:val="nil"/>
              <w:bottom w:val="nil"/>
              <w:right w:val="single" w:sz="4" w:space="0" w:color="7F7F7F"/>
            </w:tcBorders>
            <w:shd w:val="clear" w:color="000000" w:fill="D8D8D8"/>
            <w:vAlign w:val="center"/>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Operation costs discoutned [EUR]</w:t>
            </w:r>
          </w:p>
        </w:tc>
      </w:tr>
      <w:tr w:rsidR="00D80629" w:rsidRPr="00D80629" w:rsidTr="00A62E22">
        <w:trPr>
          <w:trHeight w:val="300"/>
        </w:trPr>
        <w:tc>
          <w:tcPr>
            <w:tcW w:w="680" w:type="dxa"/>
            <w:tcBorders>
              <w:top w:val="single" w:sz="4" w:space="0" w:color="F2F2F2"/>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w:t>
            </w:r>
          </w:p>
        </w:tc>
        <w:tc>
          <w:tcPr>
            <w:tcW w:w="1800" w:type="dxa"/>
            <w:tcBorders>
              <w:top w:val="single" w:sz="4" w:space="0" w:color="F2F2F2"/>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5.00</w:t>
            </w:r>
          </w:p>
        </w:tc>
        <w:tc>
          <w:tcPr>
            <w:tcW w:w="1800" w:type="dxa"/>
            <w:tcBorders>
              <w:top w:val="single" w:sz="4" w:space="0" w:color="F2F2F2"/>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5185</w:t>
            </w:r>
          </w:p>
        </w:tc>
        <w:tc>
          <w:tcPr>
            <w:tcW w:w="1800" w:type="dxa"/>
            <w:tcBorders>
              <w:top w:val="single" w:sz="4" w:space="0" w:color="F2F2F2"/>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4938</w:t>
            </w:r>
          </w:p>
        </w:tc>
        <w:tc>
          <w:tcPr>
            <w:tcW w:w="1800" w:type="dxa"/>
            <w:tcBorders>
              <w:top w:val="single" w:sz="4" w:space="0" w:color="F2F2F2"/>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86</w:t>
            </w:r>
          </w:p>
        </w:tc>
      </w:tr>
      <w:tr w:rsidR="00D80629" w:rsidRPr="00D80629" w:rsidTr="00A62E22">
        <w:trPr>
          <w:trHeight w:val="300"/>
        </w:trPr>
        <w:tc>
          <w:tcPr>
            <w:tcW w:w="680" w:type="dxa"/>
            <w:tcBorders>
              <w:top w:val="nil"/>
              <w:left w:val="single" w:sz="4" w:space="0" w:color="7F7F7F"/>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4.96</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5148</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4670</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82</w:t>
            </w:r>
          </w:p>
        </w:tc>
      </w:tr>
      <w:tr w:rsidR="00D80629" w:rsidRPr="00D80629" w:rsidTr="00A62E22">
        <w:trPr>
          <w:trHeight w:val="300"/>
        </w:trPr>
        <w:tc>
          <w:tcPr>
            <w:tcW w:w="680" w:type="dxa"/>
            <w:tcBorders>
              <w:top w:val="single" w:sz="4" w:space="0" w:color="F2F2F2"/>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4.93</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5112</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4416</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78</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4.89</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5075</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4175</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74</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4.86</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5039</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3948</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71</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6</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4.83</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5004</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3734</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67</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7</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4.79</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4968</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3531</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64</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8</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4.76</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4933</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3339</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61</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9</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4.72</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4898</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3157</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58</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10</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4.69</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4863</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2985</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55</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11</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4.66</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4828</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2823</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53</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12</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4.62</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4794</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2670</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50</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13</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4.59</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4760</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2524</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48</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14</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4.56</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4726</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2387</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45</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15</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4.53</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4693</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2257</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43</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16</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4.49</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4659</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2135</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41</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17</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4.46</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4626</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2018</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39</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18</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4.43</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4593</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1909</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37</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19</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4.40</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4561</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1805</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36</w:t>
            </w:r>
          </w:p>
        </w:tc>
      </w:tr>
      <w:tr w:rsidR="00D80629" w:rsidRPr="00D80629" w:rsidTr="00A62E22">
        <w:trPr>
          <w:trHeight w:val="300"/>
        </w:trPr>
        <w:tc>
          <w:tcPr>
            <w:tcW w:w="680" w:type="dxa"/>
            <w:tcBorders>
              <w:top w:val="nil"/>
              <w:left w:val="single" w:sz="4" w:space="0" w:color="7F7F7F"/>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20</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4.37</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4528</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1707</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34</w:t>
            </w:r>
          </w:p>
        </w:tc>
      </w:tr>
      <w:tr w:rsidR="00D80629" w:rsidRPr="00D80629" w:rsidTr="00A62E22">
        <w:trPr>
          <w:trHeight w:val="300"/>
        </w:trPr>
        <w:tc>
          <w:tcPr>
            <w:tcW w:w="680" w:type="dxa"/>
            <w:tcBorders>
              <w:top w:val="single" w:sz="4" w:space="0" w:color="F2F2F2"/>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21</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4.34</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4496</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1614</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32</w:t>
            </w:r>
          </w:p>
        </w:tc>
      </w:tr>
      <w:tr w:rsidR="00D80629" w:rsidRPr="00D80629" w:rsidTr="00A62E22">
        <w:trPr>
          <w:trHeight w:val="300"/>
        </w:trPr>
        <w:tc>
          <w:tcPr>
            <w:tcW w:w="680" w:type="dxa"/>
            <w:tcBorders>
              <w:top w:val="nil"/>
              <w:left w:val="single" w:sz="4" w:space="0" w:color="7F7F7F"/>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22</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4.31</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4464</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1526</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31</w:t>
            </w:r>
          </w:p>
        </w:tc>
      </w:tr>
      <w:tr w:rsidR="00D80629" w:rsidRPr="00D80629" w:rsidTr="00A62E22">
        <w:trPr>
          <w:trHeight w:val="300"/>
        </w:trPr>
        <w:tc>
          <w:tcPr>
            <w:tcW w:w="680" w:type="dxa"/>
            <w:tcBorders>
              <w:top w:val="single" w:sz="4" w:space="0" w:color="F2F2F2"/>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23</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4.27</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4433</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1443</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29</w:t>
            </w:r>
          </w:p>
        </w:tc>
      </w:tr>
      <w:tr w:rsidR="00D80629" w:rsidRPr="00D80629" w:rsidTr="00A62E22">
        <w:trPr>
          <w:trHeight w:val="300"/>
        </w:trPr>
        <w:tc>
          <w:tcPr>
            <w:tcW w:w="680" w:type="dxa"/>
            <w:tcBorders>
              <w:top w:val="nil"/>
              <w:left w:val="single" w:sz="4" w:space="0" w:color="7F7F7F"/>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24</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4.24</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4401</w:t>
            </w:r>
          </w:p>
        </w:tc>
        <w:tc>
          <w:tcPr>
            <w:tcW w:w="1800" w:type="dxa"/>
            <w:tcBorders>
              <w:top w:val="nil"/>
              <w:left w:val="nil"/>
              <w:bottom w:val="single" w:sz="4" w:space="0" w:color="F2F2F2"/>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1365</w:t>
            </w:r>
          </w:p>
        </w:tc>
        <w:tc>
          <w:tcPr>
            <w:tcW w:w="1800" w:type="dxa"/>
            <w:tcBorders>
              <w:top w:val="nil"/>
              <w:left w:val="nil"/>
              <w:bottom w:val="single" w:sz="4" w:space="0" w:color="F2F2F2"/>
              <w:right w:val="single" w:sz="4" w:space="0" w:color="7F7F7F"/>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28</w:t>
            </w:r>
          </w:p>
        </w:tc>
      </w:tr>
      <w:tr w:rsidR="00D80629" w:rsidRPr="00D80629" w:rsidTr="00A62E22">
        <w:trPr>
          <w:trHeight w:val="300"/>
        </w:trPr>
        <w:tc>
          <w:tcPr>
            <w:tcW w:w="680" w:type="dxa"/>
            <w:tcBorders>
              <w:top w:val="nil"/>
              <w:left w:val="single" w:sz="4" w:space="0" w:color="7F7F7F"/>
              <w:bottom w:val="single" w:sz="4" w:space="0" w:color="7F7F7F"/>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25</w:t>
            </w:r>
          </w:p>
        </w:tc>
        <w:tc>
          <w:tcPr>
            <w:tcW w:w="1800" w:type="dxa"/>
            <w:tcBorders>
              <w:top w:val="nil"/>
              <w:left w:val="nil"/>
              <w:bottom w:val="single" w:sz="4" w:space="0" w:color="7F7F7F"/>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4.21</w:t>
            </w:r>
          </w:p>
        </w:tc>
        <w:tc>
          <w:tcPr>
            <w:tcW w:w="1800" w:type="dxa"/>
            <w:tcBorders>
              <w:top w:val="nil"/>
              <w:left w:val="nil"/>
              <w:bottom w:val="single" w:sz="4" w:space="0" w:color="7F7F7F"/>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4370</w:t>
            </w:r>
          </w:p>
        </w:tc>
        <w:tc>
          <w:tcPr>
            <w:tcW w:w="1800" w:type="dxa"/>
            <w:tcBorders>
              <w:top w:val="nil"/>
              <w:left w:val="nil"/>
              <w:bottom w:val="single" w:sz="4" w:space="0" w:color="7F7F7F"/>
              <w:right w:val="nil"/>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1290</w:t>
            </w:r>
          </w:p>
        </w:tc>
        <w:tc>
          <w:tcPr>
            <w:tcW w:w="1800" w:type="dxa"/>
            <w:tcBorders>
              <w:top w:val="single" w:sz="4" w:space="0" w:color="F2F2F2"/>
              <w:left w:val="nil"/>
              <w:bottom w:val="single" w:sz="4" w:space="0" w:color="7F7F7F"/>
              <w:right w:val="single" w:sz="4" w:space="0" w:color="auto"/>
            </w:tcBorders>
            <w:shd w:val="clear" w:color="auto" w:fill="auto"/>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27</w:t>
            </w:r>
          </w:p>
        </w:tc>
      </w:tr>
      <w:tr w:rsidR="00D80629" w:rsidRPr="00D80629" w:rsidTr="00A62E22">
        <w:trPr>
          <w:trHeight w:val="165"/>
        </w:trPr>
        <w:tc>
          <w:tcPr>
            <w:tcW w:w="68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r>
      <w:tr w:rsidR="00D80629" w:rsidRPr="00D80629" w:rsidTr="00A62E22">
        <w:trPr>
          <w:trHeight w:val="300"/>
        </w:trPr>
        <w:tc>
          <w:tcPr>
            <w:tcW w:w="68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right"/>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SUM</w:t>
            </w:r>
          </w:p>
        </w:tc>
        <w:tc>
          <w:tcPr>
            <w:tcW w:w="1800" w:type="dxa"/>
            <w:tcBorders>
              <w:top w:val="single" w:sz="4" w:space="0" w:color="7F7F7F"/>
              <w:left w:val="single" w:sz="4" w:space="0" w:color="7F7F7F"/>
              <w:bottom w:val="single" w:sz="4" w:space="0" w:color="7F7F7F"/>
              <w:right w:val="nil"/>
            </w:tcBorders>
            <w:shd w:val="clear" w:color="000000" w:fill="D8D8D8"/>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68366</w:t>
            </w:r>
          </w:p>
        </w:tc>
        <w:tc>
          <w:tcPr>
            <w:tcW w:w="1800" w:type="dxa"/>
            <w:tcBorders>
              <w:top w:val="single" w:sz="4" w:space="0" w:color="7F7F7F"/>
              <w:left w:val="nil"/>
              <w:bottom w:val="single" w:sz="4" w:space="0" w:color="7F7F7F"/>
              <w:right w:val="single" w:sz="4" w:space="0" w:color="7F7F7F"/>
            </w:tcBorders>
            <w:shd w:val="clear" w:color="000000" w:fill="D8D8D8"/>
            <w:noWrap/>
            <w:vAlign w:val="bottom"/>
            <w:hideMark/>
          </w:tcPr>
          <w:p w:rsidR="00D80629" w:rsidRPr="00D80629" w:rsidRDefault="00D80629" w:rsidP="00D80629">
            <w:pPr>
              <w:spacing w:before="0" w:after="0" w:line="240" w:lineRule="auto"/>
              <w:jc w:val="center"/>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1268</w:t>
            </w:r>
          </w:p>
        </w:tc>
      </w:tr>
      <w:tr w:rsidR="00D80629" w:rsidRPr="00D80629" w:rsidTr="00A62E22">
        <w:trPr>
          <w:trHeight w:val="135"/>
        </w:trPr>
        <w:tc>
          <w:tcPr>
            <w:tcW w:w="68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r>
      <w:tr w:rsidR="00D80629" w:rsidRPr="00D80629" w:rsidTr="00A62E22">
        <w:trPr>
          <w:trHeight w:val="314"/>
        </w:trPr>
        <w:tc>
          <w:tcPr>
            <w:tcW w:w="68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right"/>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LCOE</w:t>
            </w:r>
          </w:p>
        </w:tc>
        <w:tc>
          <w:tcPr>
            <w:tcW w:w="1800" w:type="dxa"/>
            <w:tcBorders>
              <w:top w:val="single" w:sz="4" w:space="0" w:color="7F7F7F"/>
              <w:left w:val="single" w:sz="4" w:space="0" w:color="7F7F7F"/>
              <w:bottom w:val="single" w:sz="4" w:space="0" w:color="7F7F7F"/>
              <w:right w:val="single" w:sz="4" w:space="0" w:color="7F7F7F"/>
            </w:tcBorders>
            <w:shd w:val="clear" w:color="000000" w:fill="B8CCE4"/>
            <w:noWrap/>
            <w:vAlign w:val="bottom"/>
            <w:hideMark/>
          </w:tcPr>
          <w:p w:rsidR="00D80629" w:rsidRPr="00D80629" w:rsidRDefault="00D80629" w:rsidP="00D80629">
            <w:pPr>
              <w:spacing w:before="0" w:after="0" w:line="240" w:lineRule="auto"/>
              <w:jc w:val="center"/>
              <w:rPr>
                <w:rFonts w:ascii="Calibri" w:eastAsia="Times New Roman" w:hAnsi="Calibri"/>
                <w:b/>
                <w:bCs/>
                <w:color w:val="000000"/>
                <w:szCs w:val="22"/>
                <w:lang w:val="et-EE" w:eastAsia="et-EE"/>
              </w:rPr>
            </w:pPr>
            <w:r w:rsidRPr="00D80629">
              <w:rPr>
                <w:rFonts w:ascii="Calibri" w:eastAsia="Times New Roman" w:hAnsi="Calibri"/>
                <w:b/>
                <w:bCs/>
                <w:color w:val="000000"/>
                <w:szCs w:val="22"/>
                <w:lang w:val="et-EE" w:eastAsia="et-EE"/>
              </w:rPr>
              <w:t>14.6</w:t>
            </w:r>
          </w:p>
        </w:tc>
        <w:tc>
          <w:tcPr>
            <w:tcW w:w="1800" w:type="dxa"/>
            <w:tcBorders>
              <w:top w:val="nil"/>
              <w:left w:val="nil"/>
              <w:bottom w:val="nil"/>
              <w:right w:val="nil"/>
            </w:tcBorders>
            <w:shd w:val="clear" w:color="auto" w:fill="auto"/>
            <w:noWrap/>
            <w:vAlign w:val="bottom"/>
            <w:hideMark/>
          </w:tcPr>
          <w:p w:rsidR="00D80629" w:rsidRPr="00D80629" w:rsidRDefault="00D80629" w:rsidP="00D80629">
            <w:pPr>
              <w:spacing w:before="0" w:after="0" w:line="240" w:lineRule="auto"/>
              <w:jc w:val="left"/>
              <w:rPr>
                <w:rFonts w:ascii="Calibri" w:eastAsia="Times New Roman" w:hAnsi="Calibri"/>
                <w:color w:val="000000"/>
                <w:szCs w:val="22"/>
                <w:lang w:val="et-EE" w:eastAsia="et-EE"/>
              </w:rPr>
            </w:pPr>
            <w:r w:rsidRPr="00D80629">
              <w:rPr>
                <w:rFonts w:ascii="Calibri" w:eastAsia="Times New Roman" w:hAnsi="Calibri"/>
                <w:color w:val="000000"/>
                <w:szCs w:val="22"/>
                <w:lang w:val="et-EE" w:eastAsia="et-EE"/>
              </w:rPr>
              <w:t>cent/kWh</w:t>
            </w:r>
          </w:p>
        </w:tc>
      </w:tr>
    </w:tbl>
    <w:p w:rsidR="004D72C0" w:rsidRDefault="004D72C0" w:rsidP="004D72C0">
      <w:pPr>
        <w:pStyle w:val="Beschriftung"/>
        <w:rPr>
          <w:color w:val="548DD4" w:themeColor="text2" w:themeTint="99"/>
          <w:lang w:val="en-GB"/>
        </w:rPr>
      </w:pPr>
      <w:r w:rsidRPr="00E3425F">
        <w:rPr>
          <w:color w:val="548DD4" w:themeColor="text2" w:themeTint="99"/>
          <w:lang w:val="en-GB"/>
        </w:rPr>
        <w:t>Tabl</w:t>
      </w:r>
      <w:r w:rsidR="00A34156" w:rsidRPr="00E3425F">
        <w:rPr>
          <w:color w:val="548DD4" w:themeColor="text2" w:themeTint="99"/>
          <w:lang w:val="en-GB"/>
        </w:rPr>
        <w:t>e 3</w:t>
      </w:r>
      <w:r w:rsidRPr="00E3425F">
        <w:rPr>
          <w:color w:val="548DD4" w:themeColor="text2" w:themeTint="99"/>
          <w:lang w:val="en-GB"/>
        </w:rPr>
        <w:t>: Calculation and Result of the LCOE for the Austrian case</w:t>
      </w:r>
    </w:p>
    <w:p w:rsidR="00E3425F" w:rsidRDefault="00E3425F" w:rsidP="00E3425F">
      <w:pPr>
        <w:rPr>
          <w:lang w:val="en-GB"/>
        </w:rPr>
      </w:pPr>
      <w:r>
        <w:rPr>
          <w:lang w:val="en-GB"/>
        </w:rPr>
        <w:t>Additionally there is a difference between the grid price of 5.6 cent and 0.83 CZK per kWh in Austria and the Czech Republic, respectively.</w:t>
      </w:r>
      <w:r w:rsidR="00C424A2">
        <w:rPr>
          <w:lang w:val="en-GB"/>
        </w:rPr>
        <w:t xml:space="preserve"> Therefore, when we calculate the NPV for theses PV installations, it would be higher than zero </w:t>
      </w:r>
      <w:r w:rsidR="00C424A2">
        <w:rPr>
          <w:szCs w:val="16"/>
          <w:lang w:val="en-GB"/>
        </w:rPr>
        <w:t>implying a higher rate of return than requested with the discounting rate for the capital.</w:t>
      </w:r>
    </w:p>
    <w:p w:rsidR="00A62E22" w:rsidRDefault="00C424A2" w:rsidP="000770BD">
      <w:pPr>
        <w:rPr>
          <w:szCs w:val="16"/>
          <w:lang w:val="en-GB"/>
        </w:rPr>
      </w:pPr>
      <w:r>
        <w:rPr>
          <w:szCs w:val="16"/>
          <w:lang w:val="en-GB"/>
        </w:rPr>
        <w:t xml:space="preserve">Without power accumulation this is unlikely for a normal household, </w:t>
      </w:r>
      <w:r w:rsidRPr="00DB52B8">
        <w:rPr>
          <w:szCs w:val="16"/>
          <w:lang w:val="en-GB"/>
        </w:rPr>
        <w:t>readily identifiable</w:t>
      </w:r>
      <w:r>
        <w:rPr>
          <w:szCs w:val="16"/>
          <w:lang w:val="en-GB"/>
        </w:rPr>
        <w:t xml:space="preserve"> when comparing the trend of PV energy supply in a day and the normal household demand. Therefore when judging the economic viability it must be taken into consideration what can be gained from selling unconsumed energy. </w:t>
      </w:r>
      <w:r w:rsidR="000770BD">
        <w:rPr>
          <w:szCs w:val="16"/>
          <w:lang w:val="en-GB"/>
        </w:rPr>
        <w:t>To el</w:t>
      </w:r>
      <w:r w:rsidR="00A62E22">
        <w:rPr>
          <w:szCs w:val="16"/>
          <w:lang w:val="en-GB"/>
        </w:rPr>
        <w:t>aborate on this we assume that in one year 4</w:t>
      </w:r>
      <w:r w:rsidR="000770BD">
        <w:rPr>
          <w:szCs w:val="16"/>
          <w:lang w:val="en-GB"/>
        </w:rPr>
        <w:t xml:space="preserve">0% of the energy </w:t>
      </w:r>
      <w:r w:rsidR="00A62E22">
        <w:rPr>
          <w:szCs w:val="16"/>
          <w:lang w:val="en-GB"/>
        </w:rPr>
        <w:t>is self-consumed and the rest</w:t>
      </w:r>
      <w:r w:rsidR="000770BD">
        <w:rPr>
          <w:szCs w:val="16"/>
          <w:lang w:val="en-GB"/>
        </w:rPr>
        <w:t xml:space="preserve"> is fed in</w:t>
      </w:r>
      <w:r w:rsidR="00A62E22">
        <w:rPr>
          <w:szCs w:val="16"/>
          <w:lang w:val="en-GB"/>
        </w:rPr>
        <w:t xml:space="preserve">. For covering the cost the PV electricity generation the average revenue </w:t>
      </w:r>
      <w:r w:rsidR="0056452F">
        <w:rPr>
          <w:szCs w:val="16"/>
          <w:lang w:val="en-GB"/>
        </w:rPr>
        <w:t>for selling PV energy</w:t>
      </w:r>
    </w:p>
    <w:p w:rsidR="00C21DE4" w:rsidRDefault="00A62E22" w:rsidP="005326B7">
      <w:pPr>
        <w:rPr>
          <w:szCs w:val="16"/>
          <w:lang w:val="en-GB"/>
        </w:rPr>
      </w:pPr>
      <w:r>
        <w:rPr>
          <w:szCs w:val="16"/>
          <w:lang w:val="en-GB"/>
        </w:rPr>
        <w:lastRenderedPageBreak/>
        <w:t xml:space="preserve"> </w:t>
      </w:r>
      <m:oMath>
        <m:sSub>
          <m:sSubPr>
            <m:ctrlPr>
              <w:rPr>
                <w:rFonts w:ascii="Cambria Math" w:hAnsi="Cambria Math"/>
                <w:i/>
                <w:szCs w:val="16"/>
                <w:lang w:val="en-GB"/>
              </w:rPr>
            </m:ctrlPr>
          </m:sSubPr>
          <m:e>
            <m:r>
              <w:rPr>
                <w:rFonts w:ascii="Cambria Math" w:hAnsi="Cambria Math"/>
                <w:szCs w:val="16"/>
                <w:lang w:val="en-GB"/>
              </w:rPr>
              <m:t>R</m:t>
            </m:r>
          </m:e>
          <m:sub>
            <m:r>
              <w:rPr>
                <w:rFonts w:ascii="Cambria Math" w:hAnsi="Cambria Math"/>
                <w:szCs w:val="16"/>
                <w:lang w:val="en-GB"/>
              </w:rPr>
              <m:t>avg</m:t>
            </m:r>
          </m:sub>
        </m:sSub>
        <m:r>
          <w:rPr>
            <w:rFonts w:ascii="Cambria Math" w:hAnsi="Cambria Math"/>
            <w:szCs w:val="16"/>
            <w:lang w:val="en-GB"/>
          </w:rPr>
          <m:t xml:space="preserve"> = </m:t>
        </m:r>
        <m:f>
          <m:fPr>
            <m:type m:val="skw"/>
            <m:ctrlPr>
              <w:rPr>
                <w:rFonts w:ascii="Cambria Math" w:hAnsi="Cambria Math"/>
                <w:i/>
                <w:szCs w:val="16"/>
                <w:lang w:val="en-GB"/>
              </w:rPr>
            </m:ctrlPr>
          </m:fPr>
          <m:num>
            <m:r>
              <w:rPr>
                <w:rFonts w:ascii="Cambria Math" w:hAnsi="Cambria Math"/>
                <w:szCs w:val="16"/>
                <w:lang w:val="en-GB"/>
              </w:rPr>
              <m:t>(LCOE-</m:t>
            </m:r>
            <m:sSub>
              <m:sSubPr>
                <m:ctrlPr>
                  <w:rPr>
                    <w:rFonts w:ascii="Cambria Math" w:hAnsi="Cambria Math"/>
                    <w:i/>
                    <w:szCs w:val="16"/>
                    <w:lang w:val="en-GB"/>
                  </w:rPr>
                </m:ctrlPr>
              </m:sSubPr>
              <m:e>
                <m:r>
                  <w:rPr>
                    <w:rFonts w:ascii="Cambria Math" w:hAnsi="Cambria Math"/>
                    <w:szCs w:val="16"/>
                    <w:lang w:val="en-GB"/>
                  </w:rPr>
                  <m:t>P</m:t>
                </m:r>
              </m:e>
              <m:sub>
                <m:r>
                  <w:rPr>
                    <w:rFonts w:ascii="Cambria Math" w:hAnsi="Cambria Math"/>
                    <w:szCs w:val="16"/>
                    <w:lang w:val="en-GB"/>
                  </w:rPr>
                  <m:t>E</m:t>
                </m:r>
              </m:sub>
            </m:sSub>
            <m:r>
              <w:rPr>
                <w:rFonts w:ascii="Cambria Math" w:hAnsi="Cambria Math"/>
                <w:szCs w:val="16"/>
                <w:lang w:val="en-GB"/>
              </w:rPr>
              <m:t>*40%)</m:t>
            </m:r>
          </m:num>
          <m:den>
            <m:r>
              <w:rPr>
                <w:rFonts w:ascii="Cambria Math" w:hAnsi="Cambria Math"/>
                <w:szCs w:val="16"/>
                <w:lang w:val="en-GB"/>
              </w:rPr>
              <m:t>60%</m:t>
            </m:r>
          </m:den>
        </m:f>
      </m:oMath>
    </w:p>
    <w:p w:rsidR="006F5EC1" w:rsidRPr="00C21DE4" w:rsidRDefault="0056452F" w:rsidP="005326B7">
      <w:pPr>
        <w:rPr>
          <w:szCs w:val="16"/>
          <w:lang w:val="en-GB"/>
        </w:rPr>
      </w:pPr>
      <w:proofErr w:type="gramStart"/>
      <w:r>
        <w:rPr>
          <w:szCs w:val="16"/>
          <w:lang w:val="en-GB"/>
        </w:rPr>
        <w:t>must</w:t>
      </w:r>
      <w:proofErr w:type="gramEnd"/>
      <w:r>
        <w:rPr>
          <w:szCs w:val="16"/>
          <w:lang w:val="en-GB"/>
        </w:rPr>
        <w:t xml:space="preserve"> be 11 cent/kWh </w:t>
      </w:r>
      <w:r w:rsidR="00F5598C">
        <w:rPr>
          <w:szCs w:val="16"/>
          <w:lang w:val="en-GB"/>
        </w:rPr>
        <w:t xml:space="preserve">in Austria and </w:t>
      </w:r>
      <w:r w:rsidR="005326B7">
        <w:rPr>
          <w:szCs w:val="16"/>
          <w:lang w:val="en-GB"/>
        </w:rPr>
        <w:t xml:space="preserve">3.53 CZK/kWh in the Czech Republic, </w:t>
      </w:r>
      <w:r w:rsidR="00C21DE4">
        <w:rPr>
          <w:szCs w:val="16"/>
          <w:lang w:val="en-GB"/>
        </w:rPr>
        <w:t>for a price of</w:t>
      </w:r>
      <w:r w:rsidR="005326B7">
        <w:rPr>
          <w:szCs w:val="16"/>
          <w:lang w:val="en-GB"/>
        </w:rPr>
        <w:t xml:space="preserve"> purchased energy </w:t>
      </w:r>
      <m:oMath>
        <m:sSub>
          <m:sSubPr>
            <m:ctrlPr>
              <w:rPr>
                <w:rFonts w:ascii="Cambria Math" w:hAnsi="Cambria Math"/>
                <w:i/>
                <w:szCs w:val="16"/>
                <w:lang w:val="en-GB"/>
              </w:rPr>
            </m:ctrlPr>
          </m:sSubPr>
          <m:e>
            <m:r>
              <w:rPr>
                <w:rFonts w:ascii="Cambria Math" w:hAnsi="Cambria Math"/>
                <w:szCs w:val="16"/>
                <w:lang w:val="en-GB"/>
              </w:rPr>
              <m:t>P</m:t>
            </m:r>
          </m:e>
          <m:sub>
            <m:r>
              <w:rPr>
                <w:rFonts w:ascii="Cambria Math" w:hAnsi="Cambria Math"/>
                <w:szCs w:val="16"/>
                <w:lang w:val="en-GB"/>
              </w:rPr>
              <m:t>E</m:t>
            </m:r>
          </m:sub>
        </m:sSub>
      </m:oMath>
      <w:r w:rsidR="005326B7">
        <w:rPr>
          <w:szCs w:val="16"/>
          <w:lang w:val="en-GB"/>
        </w:rPr>
        <w:t xml:space="preserve"> as before.</w:t>
      </w:r>
      <w:r w:rsidR="005448D3">
        <w:rPr>
          <w:szCs w:val="16"/>
          <w:lang w:val="en-GB"/>
        </w:rPr>
        <w:t xml:space="preserve"> The result is lower than the LCOE for both cases, because of the additional earnings due to the difference in the LCOE and the price of purchased energy.</w:t>
      </w:r>
      <w:r w:rsidR="006F5EC1">
        <w:rPr>
          <w:szCs w:val="16"/>
          <w:lang w:val="en-GB"/>
        </w:rPr>
        <w:t xml:space="preserve"> </w:t>
      </w:r>
      <w:r w:rsidR="00581C14">
        <w:rPr>
          <w:szCs w:val="16"/>
          <w:lang w:val="en-GB"/>
        </w:rPr>
        <w:t xml:space="preserve">In Austria the price offered </w:t>
      </w:r>
      <w:r w:rsidR="006F5EC1">
        <w:rPr>
          <w:szCs w:val="16"/>
          <w:lang w:val="en-GB"/>
        </w:rPr>
        <w:t xml:space="preserve">by electricity utility companies is between 6 and 9 cents per kWh </w:t>
      </w:r>
      <w:r w:rsidR="006F5EC1">
        <w:t xml:space="preserve">(PV Austria). </w:t>
      </w:r>
    </w:p>
    <w:p w:rsidR="005326B7" w:rsidRPr="006F5EC1" w:rsidRDefault="006F5EC1" w:rsidP="005326B7">
      <w:pPr>
        <w:rPr>
          <w:szCs w:val="16"/>
          <w:lang w:val="en-GB"/>
        </w:rPr>
      </w:pPr>
      <w:r>
        <w:t xml:space="preserve">For the Czech Republic </w:t>
      </w:r>
      <w:r w:rsidR="00C3574C">
        <w:t xml:space="preserve">market </w:t>
      </w:r>
      <w:r>
        <w:t xml:space="preserve">prices between 0.3 – </w:t>
      </w:r>
      <w:r w:rsidRPr="006F5EC1">
        <w:t>0.6 CZK</w:t>
      </w:r>
      <w:r>
        <w:t xml:space="preserve">/kWh are reported. To balance the difference between the minimum market price and the actual </w:t>
      </w:r>
      <w:r w:rsidR="00C3574C">
        <w:t>there was a</w:t>
      </w:r>
      <w:r>
        <w:t xml:space="preserve"> green bonus.</w:t>
      </w:r>
      <w:r>
        <w:rPr>
          <w:szCs w:val="16"/>
          <w:lang w:val="en-GB"/>
        </w:rPr>
        <w:t xml:space="preserve"> </w:t>
      </w:r>
      <w:r w:rsidR="005326B7">
        <w:t>In the Czech Republic the green bonus is not set for new PVs since 2014. Ofcourse PVs instaled before 2014 still get the green bonus. This means that for now PVs are not as good investment as they were with the green bonus. But still there are model situations where you can save money by instaling PV for your personal usage.</w:t>
      </w:r>
    </w:p>
    <w:p w:rsidR="006F5EC1" w:rsidRDefault="006F5EC1" w:rsidP="006F5EC1">
      <w:pPr>
        <w:rPr>
          <w:szCs w:val="16"/>
          <w:lang w:val="en-GB"/>
        </w:rPr>
      </w:pPr>
      <w:r>
        <w:rPr>
          <w:szCs w:val="16"/>
          <w:lang w:val="en-GB"/>
        </w:rPr>
        <w:t>What the average income is when selling PV energy in the market is difficult to predict, but there exist methods to derive it</w:t>
      </w:r>
      <w:r w:rsidR="00F72C7D">
        <w:rPr>
          <w:szCs w:val="16"/>
          <w:lang w:val="en-GB"/>
        </w:rPr>
        <w:t xml:space="preserve"> </w:t>
      </w:r>
      <w:sdt>
        <w:sdtPr>
          <w:id w:val="5946597"/>
          <w:citation/>
        </w:sdtPr>
        <w:sdtContent>
          <w:r w:rsidR="00A008B9">
            <w:fldChar w:fldCharType="begin"/>
          </w:r>
          <w:r w:rsidR="001E1BD9">
            <w:instrText xml:space="preserve"> CITATION MBe07 \l 1061 </w:instrText>
          </w:r>
          <w:r w:rsidR="00A008B9">
            <w:fldChar w:fldCharType="separate"/>
          </w:r>
          <w:r w:rsidR="00796F8C" w:rsidRPr="00796F8C">
            <w:rPr>
              <w:noProof/>
            </w:rPr>
            <w:t>(Benes &amp; Knápek, 2007)</w:t>
          </w:r>
          <w:r w:rsidR="00A008B9">
            <w:rPr>
              <w:noProof/>
            </w:rPr>
            <w:fldChar w:fldCharType="end"/>
          </w:r>
        </w:sdtContent>
      </w:sdt>
      <w:r w:rsidRPr="00F72C7D">
        <w:t>.</w:t>
      </w:r>
      <w:r>
        <w:rPr>
          <w:szCs w:val="16"/>
          <w:lang w:val="en-GB"/>
        </w:rPr>
        <w:t xml:space="preserve"> But because the market price volatile, the viability for a household depends not only how much they use for self-consumption but also when they do it.</w:t>
      </w:r>
      <w:r w:rsidR="00796F8C">
        <w:rPr>
          <w:szCs w:val="16"/>
          <w:lang w:val="en-GB"/>
        </w:rPr>
        <w:t xml:space="preserve"> The amount of self-consumption will also vary in the year and maybe rise if taking the degradation into account. </w:t>
      </w:r>
    </w:p>
    <w:p w:rsidR="0026458C" w:rsidRPr="001E3FA2" w:rsidRDefault="00F72C7D" w:rsidP="002907AD">
      <w:pPr>
        <w:rPr>
          <w:szCs w:val="16"/>
          <w:lang w:val="en-GB"/>
        </w:rPr>
      </w:pPr>
      <w:r>
        <w:rPr>
          <w:szCs w:val="16"/>
          <w:lang w:val="en-GB"/>
        </w:rPr>
        <w:t xml:space="preserve">Feed-in tariffs exist as a support mechanism to cope with this uncertainty and provide the household more assurance for the viability of a PV installation. The current feed-in tariff in Austria, for </w:t>
      </w:r>
      <w:r w:rsidR="00796F8C">
        <w:rPr>
          <w:szCs w:val="16"/>
          <w:lang w:val="en-GB"/>
        </w:rPr>
        <w:t>PV-System with a peak power between 5</w:t>
      </w:r>
      <w:r>
        <w:rPr>
          <w:szCs w:val="16"/>
          <w:lang w:val="en-GB"/>
        </w:rPr>
        <w:t xml:space="preserve">kWp </w:t>
      </w:r>
      <w:r w:rsidR="00C3574C">
        <w:rPr>
          <w:szCs w:val="16"/>
          <w:lang w:val="en-GB"/>
        </w:rPr>
        <w:t xml:space="preserve">and </w:t>
      </w:r>
      <w:r w:rsidR="00796F8C">
        <w:rPr>
          <w:szCs w:val="16"/>
          <w:lang w:val="en-GB"/>
        </w:rPr>
        <w:t>200kWp starting operations</w:t>
      </w:r>
      <w:r>
        <w:rPr>
          <w:szCs w:val="16"/>
          <w:lang w:val="en-GB"/>
        </w:rPr>
        <w:t xml:space="preserve"> in 2015</w:t>
      </w:r>
      <w:r w:rsidR="00796F8C">
        <w:rPr>
          <w:szCs w:val="16"/>
          <w:lang w:val="en-GB"/>
        </w:rPr>
        <w:t xml:space="preserve"> is 11.5 cent/kWh (</w:t>
      </w:r>
      <w:proofErr w:type="spellStart"/>
      <w:r w:rsidR="00796F8C">
        <w:rPr>
          <w:szCs w:val="16"/>
          <w:lang w:val="en-GB"/>
        </w:rPr>
        <w:t>OeMAG</w:t>
      </w:r>
      <w:proofErr w:type="spellEnd"/>
      <w:r w:rsidR="00796F8C">
        <w:rPr>
          <w:szCs w:val="16"/>
          <w:lang w:val="en-GB"/>
        </w:rPr>
        <w:t xml:space="preserve">), therefore a little above the calculated minimal value. The PV </w:t>
      </w:r>
      <w:r w:rsidR="00C3574C">
        <w:rPr>
          <w:szCs w:val="16"/>
          <w:lang w:val="en-GB"/>
        </w:rPr>
        <w:t>installation</w:t>
      </w:r>
      <w:r w:rsidR="00796F8C">
        <w:rPr>
          <w:szCs w:val="16"/>
          <w:lang w:val="en-GB"/>
        </w:rPr>
        <w:t xml:space="preserve"> for the household in Austria in this example would be therefore </w:t>
      </w:r>
      <w:r w:rsidR="00C3574C">
        <w:rPr>
          <w:szCs w:val="16"/>
          <w:lang w:val="en-GB"/>
        </w:rPr>
        <w:t xml:space="preserve">economically </w:t>
      </w:r>
      <w:r w:rsidR="00796F8C">
        <w:rPr>
          <w:szCs w:val="16"/>
          <w:lang w:val="en-GB"/>
        </w:rPr>
        <w:t>viable.</w:t>
      </w:r>
    </w:p>
    <w:p w:rsidR="0079742E" w:rsidRPr="001E3FA2" w:rsidRDefault="001F46B6" w:rsidP="00DB52B8">
      <w:pPr>
        <w:pStyle w:val="berschrift1"/>
        <w:rPr>
          <w:lang w:val="en-GB"/>
        </w:rPr>
      </w:pPr>
      <w:bookmarkStart w:id="17" w:name="_Toc422916329"/>
      <w:r>
        <w:rPr>
          <w:lang w:val="en-GB"/>
        </w:rPr>
        <w:t>6</w:t>
      </w:r>
      <w:r w:rsidR="00DB52B8" w:rsidRPr="001E3FA2">
        <w:rPr>
          <w:lang w:val="en-GB"/>
        </w:rPr>
        <w:t>.</w:t>
      </w:r>
      <w:r>
        <w:rPr>
          <w:lang w:val="en-GB"/>
        </w:rPr>
        <w:tab/>
      </w:r>
      <w:r w:rsidR="00DB52B8" w:rsidRPr="001E3FA2">
        <w:rPr>
          <w:lang w:val="en-GB"/>
        </w:rPr>
        <w:t>Conclusion</w:t>
      </w:r>
      <w:bookmarkEnd w:id="17"/>
    </w:p>
    <w:p w:rsidR="006E76C5" w:rsidRDefault="00812294" w:rsidP="002907AD">
      <w:pPr>
        <w:rPr>
          <w:szCs w:val="16"/>
          <w:lang w:val="en-GB"/>
        </w:rPr>
      </w:pPr>
      <w:r>
        <w:rPr>
          <w:szCs w:val="16"/>
          <w:lang w:val="en-GB"/>
        </w:rPr>
        <w:t>While the calculation for the cost was a simplified, we showed what aspects must be taken into account when determining the costs of PV installations for small household and how the economic viability can be assed preliminary. Nonetheless, for a comprehensive judgment a household must take into consideration all cash-flows to ensure liquidity and a financially sound investment. The regulation concerning private PV installation turned out to be problematic</w:t>
      </w:r>
      <w:r w:rsidR="00C21DE4">
        <w:rPr>
          <w:szCs w:val="16"/>
          <w:lang w:val="en-GB"/>
        </w:rPr>
        <w:t xml:space="preserve"> both in Austria and in the Czech Republic problematic. Therefore we recommend for households to secure legal advice. In addition, power accumulation was discussed, as a means to maximize self-consumption, which is becoming more and more important and considered since PV energy has reached grid parity.</w:t>
      </w:r>
    </w:p>
    <w:p w:rsidR="00F72C7D" w:rsidRPr="001E3FA2" w:rsidRDefault="00097AB8" w:rsidP="002907AD">
      <w:pPr>
        <w:rPr>
          <w:szCs w:val="16"/>
          <w:lang w:val="en-GB"/>
        </w:rPr>
      </w:pPr>
      <w:r>
        <w:rPr>
          <w:szCs w:val="16"/>
          <w:lang w:val="en-GB"/>
        </w:rPr>
        <w:t>It is important to state the fact that we are talking about economic costs and we are looking for the viability of the system from the view of economic costs. In the case of social costs and benefits there are many opinions regarding green energy. The difference is in apprehension of importance of preserving the environment. Consuming energy from rooftop PV panels has impact on reducing fossil fuels consumption and that can be considered as a step towards preservation of environment. It is hard to quantify these benefits therefore we did not calculate them into our cost analysis.</w:t>
      </w:r>
      <w:bookmarkStart w:id="18" w:name="_GoBack"/>
      <w:bookmarkEnd w:id="18"/>
    </w:p>
    <w:sdt>
      <w:sdtPr>
        <w:rPr>
          <w:rFonts w:cs="Times New Roman"/>
          <w:b w:val="0"/>
          <w:bCs w:val="0"/>
          <w:iCs w:val="0"/>
          <w:color w:val="auto"/>
          <w:sz w:val="22"/>
          <w:lang w:val="en-GB"/>
        </w:rPr>
        <w:id w:val="8458161"/>
        <w:docPartObj>
          <w:docPartGallery w:val="Bibliographies"/>
          <w:docPartUnique/>
        </w:docPartObj>
      </w:sdtPr>
      <w:sdtContent>
        <w:bookmarkStart w:id="19" w:name="_Toc422916330" w:displacedByCustomXml="prev"/>
        <w:p w:rsidR="00C84822" w:rsidRPr="001E3FA2" w:rsidRDefault="00C84822" w:rsidP="00E72961">
          <w:pPr>
            <w:pStyle w:val="berschrift2"/>
            <w:ind w:left="0" w:firstLine="0"/>
            <w:rPr>
              <w:lang w:val="en-GB"/>
            </w:rPr>
          </w:pPr>
          <w:r w:rsidRPr="001E3FA2">
            <w:rPr>
              <w:lang w:val="en-GB"/>
            </w:rPr>
            <w:t>References</w:t>
          </w:r>
          <w:bookmarkEnd w:id="19"/>
        </w:p>
        <w:p w:rsidR="00796F8C" w:rsidRDefault="00A008B9" w:rsidP="00E72961">
          <w:pPr>
            <w:pStyle w:val="Literaturverzeichnis"/>
            <w:jc w:val="left"/>
            <w:rPr>
              <w:noProof/>
              <w:lang w:val="en-GB"/>
            </w:rPr>
          </w:pPr>
          <w:r w:rsidRPr="001E3FA2">
            <w:rPr>
              <w:lang w:val="en-GB"/>
            </w:rPr>
            <w:fldChar w:fldCharType="begin"/>
          </w:r>
          <w:r w:rsidR="00C84822" w:rsidRPr="001E3FA2">
            <w:rPr>
              <w:lang w:val="en-GB"/>
            </w:rPr>
            <w:instrText xml:space="preserve"> BIBLIOGRAPHY </w:instrText>
          </w:r>
          <w:r w:rsidRPr="001E3FA2">
            <w:rPr>
              <w:lang w:val="en-GB"/>
            </w:rPr>
            <w:fldChar w:fldCharType="separate"/>
          </w:r>
          <w:r w:rsidR="00796F8C">
            <w:rPr>
              <w:noProof/>
              <w:lang w:val="en-GB"/>
            </w:rPr>
            <w:t xml:space="preserve">Benes, M. &amp; Knápek, J., 2007. Market Value of Electricity Generated Based on RES Utilization. </w:t>
          </w:r>
          <w:r w:rsidR="00796F8C">
            <w:rPr>
              <w:i/>
              <w:iCs/>
              <w:noProof/>
              <w:lang w:val="en-GB"/>
            </w:rPr>
            <w:t xml:space="preserve">ISESCO Science and Technology Vision, </w:t>
          </w:r>
          <w:r w:rsidR="00796F8C">
            <w:rPr>
              <w:noProof/>
              <w:lang w:val="en-GB"/>
            </w:rPr>
            <w:t>3(3), pp. 3-96.</w:t>
          </w:r>
        </w:p>
        <w:p w:rsidR="00796F8C" w:rsidRDefault="00796F8C" w:rsidP="00E72961">
          <w:pPr>
            <w:pStyle w:val="Literaturverzeichnis"/>
            <w:jc w:val="left"/>
            <w:rPr>
              <w:noProof/>
              <w:lang w:val="en-GB"/>
            </w:rPr>
          </w:pPr>
          <w:r>
            <w:rPr>
              <w:noProof/>
              <w:lang w:val="en-GB"/>
            </w:rPr>
            <w:t xml:space="preserve">Biermayr, P. et al., 2015. Innovative Energietechnologien in Österreich. </w:t>
          </w:r>
          <w:r>
            <w:rPr>
              <w:i/>
              <w:iCs/>
              <w:noProof/>
              <w:lang w:val="en-GB"/>
            </w:rPr>
            <w:t xml:space="preserve">Berichte aus Energie- und Umweltforschung, </w:t>
          </w:r>
          <w:r>
            <w:rPr>
              <w:noProof/>
              <w:lang w:val="en-GB"/>
            </w:rPr>
            <w:t>p. 106.</w:t>
          </w:r>
        </w:p>
        <w:p w:rsidR="00796F8C" w:rsidRDefault="00796F8C" w:rsidP="00E72961">
          <w:pPr>
            <w:pStyle w:val="Literaturverzeichnis"/>
            <w:jc w:val="left"/>
            <w:rPr>
              <w:noProof/>
              <w:lang w:val="en-GB"/>
            </w:rPr>
          </w:pPr>
          <w:r>
            <w:rPr>
              <w:noProof/>
              <w:lang w:val="en-GB"/>
            </w:rPr>
            <w:t xml:space="preserve">Bundesministerium für Finanzen, 2014. </w:t>
          </w:r>
          <w:r>
            <w:rPr>
              <w:i/>
              <w:iCs/>
              <w:noProof/>
              <w:lang w:val="en-GB"/>
            </w:rPr>
            <w:t xml:space="preserve">Steuerliche Beurteilung von Photovoltaikanlagen. </w:t>
          </w:r>
          <w:r>
            <w:rPr>
              <w:noProof/>
              <w:lang w:val="en-GB"/>
            </w:rPr>
            <w:t xml:space="preserve">[Online] </w:t>
          </w:r>
          <w:r>
            <w:rPr>
              <w:noProof/>
              <w:lang w:val="en-GB"/>
            </w:rPr>
            <w:br/>
            <w:t xml:space="preserve">Available at: </w:t>
          </w:r>
          <w:r>
            <w:rPr>
              <w:noProof/>
              <w:u w:val="single"/>
              <w:lang w:val="en-GB"/>
            </w:rPr>
            <w:t>https://findok.bmf.gv.at/findok?execution=e100000s1&amp;segmentId=c8819641-3369-4808-8076-42c7d6f47d95</w:t>
          </w:r>
          <w:r>
            <w:rPr>
              <w:noProof/>
              <w:lang w:val="en-GB"/>
            </w:rPr>
            <w:br/>
            <w:t>[Accessed 20 June 2015].</w:t>
          </w:r>
        </w:p>
        <w:p w:rsidR="00796F8C" w:rsidRDefault="00796F8C" w:rsidP="00E72961">
          <w:pPr>
            <w:pStyle w:val="Literaturverzeichnis"/>
            <w:jc w:val="left"/>
            <w:rPr>
              <w:noProof/>
              <w:lang w:val="en-GB"/>
            </w:rPr>
          </w:pPr>
          <w:r>
            <w:rPr>
              <w:noProof/>
              <w:lang w:val="en-GB"/>
            </w:rPr>
            <w:t xml:space="preserve">Gregori, S. &amp; Komarek, E., 2013. EuGH bejaht Vorsteuerabzug bei Photovoltaikanlagen. </w:t>
          </w:r>
          <w:r>
            <w:rPr>
              <w:i/>
              <w:iCs/>
              <w:noProof/>
              <w:lang w:val="en-GB"/>
            </w:rPr>
            <w:t xml:space="preserve">taxlex, </w:t>
          </w:r>
          <w:r>
            <w:rPr>
              <w:noProof/>
              <w:lang w:val="en-GB"/>
            </w:rPr>
            <w:t>pp. 316-319.</w:t>
          </w:r>
        </w:p>
        <w:p w:rsidR="00796F8C" w:rsidRDefault="00796F8C" w:rsidP="00E72961">
          <w:pPr>
            <w:pStyle w:val="Literaturverzeichnis"/>
            <w:jc w:val="left"/>
            <w:rPr>
              <w:noProof/>
              <w:lang w:val="en-GB"/>
            </w:rPr>
          </w:pPr>
          <w:r>
            <w:rPr>
              <w:noProof/>
              <w:lang w:val="en-GB"/>
            </w:rPr>
            <w:t xml:space="preserve">Hoppmann, J., Volland, J., Schmidt, T. S. &amp; Hoffmann, V. H., 2014. The Economic Viability of Battery Storage for Residential Solar Photovoltaic Systems – A Review and a Simulation Model. </w:t>
          </w:r>
          <w:r>
            <w:rPr>
              <w:i/>
              <w:iCs/>
              <w:noProof/>
              <w:lang w:val="en-GB"/>
            </w:rPr>
            <w:t xml:space="preserve">Renewable and Sustainable Energy Reviews, </w:t>
          </w:r>
          <w:r>
            <w:rPr>
              <w:noProof/>
              <w:lang w:val="en-GB"/>
            </w:rPr>
            <w:t>Issue 39, p. 1101–1118.</w:t>
          </w:r>
        </w:p>
        <w:p w:rsidR="00796F8C" w:rsidRDefault="00796F8C" w:rsidP="00E72961">
          <w:pPr>
            <w:pStyle w:val="Literaturverzeichnis"/>
            <w:jc w:val="left"/>
            <w:rPr>
              <w:noProof/>
              <w:lang w:val="en-GB"/>
            </w:rPr>
          </w:pPr>
          <w:r>
            <w:rPr>
              <w:noProof/>
              <w:lang w:val="en-GB"/>
            </w:rPr>
            <w:t xml:space="preserve">ISE, November 2013. </w:t>
          </w:r>
          <w:r>
            <w:rPr>
              <w:i/>
              <w:iCs/>
              <w:noProof/>
              <w:lang w:val="en-GB"/>
            </w:rPr>
            <w:t xml:space="preserve">Stromgestehungskosten Erneuerbarer Energien, </w:t>
          </w:r>
          <w:r>
            <w:rPr>
              <w:noProof/>
              <w:lang w:val="en-GB"/>
            </w:rPr>
            <w:t>Freiburg: s.n.</w:t>
          </w:r>
        </w:p>
        <w:p w:rsidR="00796F8C" w:rsidRDefault="00796F8C" w:rsidP="00E72961">
          <w:pPr>
            <w:pStyle w:val="Literaturverzeichnis"/>
            <w:jc w:val="left"/>
            <w:rPr>
              <w:noProof/>
              <w:lang w:val="en-GB"/>
            </w:rPr>
          </w:pPr>
          <w:r>
            <w:rPr>
              <w:noProof/>
              <w:lang w:val="en-GB"/>
            </w:rPr>
            <w:t xml:space="preserve">Ndiaye, A. et al., 2013. Degradations of silicon photovoltaic modules: A literature review. </w:t>
          </w:r>
          <w:r>
            <w:rPr>
              <w:i/>
              <w:iCs/>
              <w:noProof/>
              <w:lang w:val="en-GB"/>
            </w:rPr>
            <w:t xml:space="preserve">Solar Energy, </w:t>
          </w:r>
          <w:r>
            <w:rPr>
              <w:noProof/>
              <w:lang w:val="en-GB"/>
            </w:rPr>
            <w:t>Issue 96, pp. 140-151.</w:t>
          </w:r>
        </w:p>
        <w:p w:rsidR="00796F8C" w:rsidRDefault="00796F8C" w:rsidP="00E72961">
          <w:pPr>
            <w:pStyle w:val="Literaturverzeichnis"/>
            <w:jc w:val="left"/>
            <w:rPr>
              <w:noProof/>
              <w:lang w:val="en-GB"/>
            </w:rPr>
          </w:pPr>
          <w:r>
            <w:rPr>
              <w:noProof/>
              <w:lang w:val="en-GB"/>
            </w:rPr>
            <w:t xml:space="preserve">Peter Biermayr, M. E. M. E. H. F. e. a., 2014. </w:t>
          </w:r>
          <w:r>
            <w:rPr>
              <w:i/>
              <w:iCs/>
              <w:noProof/>
              <w:lang w:val="en-GB"/>
            </w:rPr>
            <w:t xml:space="preserve">Innovative Energietechnologien in Österreich, </w:t>
          </w:r>
          <w:r>
            <w:rPr>
              <w:noProof/>
              <w:lang w:val="en-GB"/>
            </w:rPr>
            <w:t>s.l.: Bundesministerium für Verkehr, Innovation und Technologie.</w:t>
          </w:r>
        </w:p>
        <w:p w:rsidR="00796F8C" w:rsidRDefault="00796F8C" w:rsidP="00E72961">
          <w:pPr>
            <w:pStyle w:val="Literaturverzeichnis"/>
            <w:jc w:val="left"/>
            <w:rPr>
              <w:noProof/>
              <w:lang w:val="en-GB"/>
            </w:rPr>
          </w:pPr>
          <w:r>
            <w:rPr>
              <w:noProof/>
              <w:lang w:val="en-GB"/>
            </w:rPr>
            <w:t xml:space="preserve">Poonpun, P. &amp; Jewell, W. T., 2008. Analysis of the Cost per Kilowatt Hour to Store Electricity. </w:t>
          </w:r>
          <w:r>
            <w:rPr>
              <w:i/>
              <w:iCs/>
              <w:noProof/>
              <w:lang w:val="en-GB"/>
            </w:rPr>
            <w:t xml:space="preserve">IEEE Transactions on Energy Conversion, </w:t>
          </w:r>
          <w:r>
            <w:rPr>
              <w:noProof/>
              <w:lang w:val="en-GB"/>
            </w:rPr>
            <w:t>23(2), pp. 529-534.</w:t>
          </w:r>
        </w:p>
        <w:p w:rsidR="00796F8C" w:rsidRDefault="00796F8C" w:rsidP="00E72961">
          <w:pPr>
            <w:pStyle w:val="Literaturverzeichnis"/>
            <w:jc w:val="left"/>
            <w:rPr>
              <w:noProof/>
              <w:lang w:val="en-GB"/>
            </w:rPr>
          </w:pPr>
          <w:r>
            <w:rPr>
              <w:noProof/>
              <w:lang w:val="en-GB"/>
            </w:rPr>
            <w:t xml:space="preserve">Press Release No 75/13, 2013. </w:t>
          </w:r>
          <w:r>
            <w:rPr>
              <w:i/>
              <w:iCs/>
              <w:noProof/>
              <w:lang w:val="en-GB"/>
            </w:rPr>
            <w:t xml:space="preserve">Finanzamt Freistadt Rohrbach Urfahr v Unabhängiger Finanzsenat, </w:t>
          </w:r>
          <w:r>
            <w:rPr>
              <w:noProof/>
              <w:lang w:val="en-GB"/>
            </w:rPr>
            <w:t>Luxembourg,: CURIA.</w:t>
          </w:r>
        </w:p>
        <w:p w:rsidR="00796F8C" w:rsidRDefault="00796F8C" w:rsidP="00E72961">
          <w:pPr>
            <w:pStyle w:val="Literaturverzeichnis"/>
            <w:jc w:val="left"/>
            <w:rPr>
              <w:noProof/>
              <w:lang w:val="en-GB"/>
            </w:rPr>
          </w:pPr>
          <w:r>
            <w:rPr>
              <w:noProof/>
              <w:lang w:val="en-GB"/>
            </w:rPr>
            <w:t xml:space="preserve">PV Austria, n.d. </w:t>
          </w:r>
          <w:r>
            <w:rPr>
              <w:i/>
              <w:iCs/>
              <w:noProof/>
              <w:lang w:val="en-GB"/>
            </w:rPr>
            <w:t xml:space="preserve">PVA-Plattform für Überschuss-Einspeiser. </w:t>
          </w:r>
          <w:r>
            <w:rPr>
              <w:noProof/>
              <w:lang w:val="en-GB"/>
            </w:rPr>
            <w:t xml:space="preserve">[Online] </w:t>
          </w:r>
          <w:r>
            <w:rPr>
              <w:noProof/>
              <w:lang w:val="en-GB"/>
            </w:rPr>
            <w:br/>
            <w:t xml:space="preserve">Available at: </w:t>
          </w:r>
          <w:r>
            <w:rPr>
              <w:noProof/>
              <w:u w:val="single"/>
              <w:lang w:val="en-GB"/>
            </w:rPr>
            <w:t>http://www.pvaustria.at/strom-verkaufen/</w:t>
          </w:r>
          <w:r>
            <w:rPr>
              <w:noProof/>
              <w:lang w:val="en-GB"/>
            </w:rPr>
            <w:br/>
            <w:t>[Accessed 23 July 2015].</w:t>
          </w:r>
        </w:p>
        <w:p w:rsidR="00796F8C" w:rsidRDefault="00796F8C" w:rsidP="00E72961">
          <w:pPr>
            <w:pStyle w:val="Literaturverzeichnis"/>
            <w:jc w:val="left"/>
            <w:rPr>
              <w:noProof/>
              <w:lang w:val="en-GB"/>
            </w:rPr>
          </w:pPr>
          <w:r>
            <w:rPr>
              <w:noProof/>
              <w:lang w:val="en-GB"/>
            </w:rPr>
            <w:t xml:space="preserve">Šúri, M., Huld, T. &amp; Dunlop, E., 2005. PVGIS: a web-based solar radiation database for the calculation of PV potential in Europe. </w:t>
          </w:r>
          <w:r>
            <w:rPr>
              <w:i/>
              <w:iCs/>
              <w:noProof/>
              <w:lang w:val="en-GB"/>
            </w:rPr>
            <w:t xml:space="preserve">International Journal of Sustainable Energy, </w:t>
          </w:r>
          <w:r>
            <w:rPr>
              <w:noProof/>
              <w:lang w:val="en-GB"/>
            </w:rPr>
            <w:t>24(2), pp. 55-67.</w:t>
          </w:r>
        </w:p>
        <w:p w:rsidR="00796F8C" w:rsidRDefault="00796F8C" w:rsidP="00E72961">
          <w:pPr>
            <w:pStyle w:val="Literaturverzeichnis"/>
            <w:jc w:val="left"/>
            <w:rPr>
              <w:noProof/>
              <w:lang w:val="en-GB"/>
            </w:rPr>
          </w:pPr>
          <w:r>
            <w:rPr>
              <w:noProof/>
              <w:lang w:val="en-GB"/>
            </w:rPr>
            <w:t xml:space="preserve">Voralberger Energienetze GmbH, 2015. </w:t>
          </w:r>
          <w:r>
            <w:rPr>
              <w:i/>
              <w:iCs/>
              <w:noProof/>
              <w:lang w:val="en-GB"/>
            </w:rPr>
            <w:t xml:space="preserve">Preisblatt Netzanschluss- und Montagepauschalen für das STROM-Verteilernetz. </w:t>
          </w:r>
          <w:r>
            <w:rPr>
              <w:noProof/>
              <w:lang w:val="en-GB"/>
            </w:rPr>
            <w:t xml:space="preserve">[Online] </w:t>
          </w:r>
          <w:r>
            <w:rPr>
              <w:noProof/>
              <w:lang w:val="en-GB"/>
            </w:rPr>
            <w:br/>
            <w:t xml:space="preserve">Available at: </w:t>
          </w:r>
          <w:r>
            <w:rPr>
              <w:noProof/>
              <w:u w:val="single"/>
              <w:lang w:val="en-GB"/>
            </w:rPr>
            <w:t>http://www.vorarlbergnetz.at/downloads/at/2015-01-01_Preisblatt_Netzanschluss-_u._Montagepauschalen_Vorarlberg_Netz.pdf</w:t>
          </w:r>
          <w:r>
            <w:rPr>
              <w:noProof/>
              <w:lang w:val="en-GB"/>
            </w:rPr>
            <w:br/>
            <w:t>[Accessed 20 May 2015].</w:t>
          </w:r>
        </w:p>
        <w:p w:rsidR="00021C16" w:rsidRPr="001E3FA2" w:rsidRDefault="00A008B9" w:rsidP="00E72961">
          <w:pPr>
            <w:spacing w:before="40" w:line="276" w:lineRule="auto"/>
            <w:jc w:val="left"/>
            <w:rPr>
              <w:lang w:val="en-GB"/>
            </w:rPr>
          </w:pPr>
          <w:r w:rsidRPr="001E3FA2">
            <w:rPr>
              <w:lang w:val="en-GB"/>
            </w:rPr>
            <w:fldChar w:fldCharType="end"/>
          </w:r>
        </w:p>
      </w:sdtContent>
    </w:sdt>
    <w:sectPr w:rsidR="00021C16" w:rsidRPr="001E3FA2" w:rsidSect="002450EB">
      <w:headerReference w:type="default" r:id="rId20"/>
      <w:headerReference w:type="first" r:id="rId21"/>
      <w:footerReference w:type="first" r:id="rId22"/>
      <w:pgSz w:w="11906" w:h="16838" w:code="9"/>
      <w:pgMar w:top="1418" w:right="1134"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389" w:rsidRDefault="004B4389">
      <w:r>
        <w:separator/>
      </w:r>
    </w:p>
  </w:endnote>
  <w:endnote w:type="continuationSeparator" w:id="0">
    <w:p w:rsidR="004B4389" w:rsidRDefault="004B4389">
      <w:r>
        <w:continuationSeparator/>
      </w:r>
    </w:p>
  </w:endnote>
</w:endnotes>
</file>

<file path=word/fontTable.xml><?xml version="1.0" encoding="utf-8"?>
<w:fonts xmlns:r="http://schemas.openxmlformats.org/officeDocument/2006/relationships" xmlns:w="http://schemas.openxmlformats.org/wordprocessingml/2006/main">
  <w:font w:name="Arial">
    <w:altName w:val="Liberation Sans"/>
    <w:panose1 w:val="020B0604020202020204"/>
    <w:charset w:val="00"/>
    <w:family w:val="swiss"/>
    <w:notTrueType/>
    <w:pitch w:val="variable"/>
    <w:sig w:usb0="00000003" w:usb1="00000000" w:usb2="00000000" w:usb3="00000000" w:csb0="00000001" w:csb1="00000000"/>
  </w:font>
  <w:font w:name="Times New Roman">
    <w:altName w:val="Liberation Serif"/>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lwg Typo">
    <w:panose1 w:val="02000603000000000000"/>
    <w:charset w:val="00"/>
    <w:family w:val="modern"/>
    <w:pitch w:val="fixed"/>
    <w:sig w:usb0="8100000F" w:usb1="10002008"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Franklin Gothic Demi">
    <w:altName w:val="DejaVu Sans"/>
    <w:charset w:val="EE"/>
    <w:family w:val="swiss"/>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 w:name="Cambria Math">
    <w:panose1 w:val="02040503050406030204"/>
    <w:charset w:val="BA"/>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294" w:rsidRPr="003637B0" w:rsidRDefault="00812294" w:rsidP="003637B0">
    <w:pPr>
      <w:pStyle w:val="Fuzeile"/>
      <w:rPr>
        <w:rFonts w:ascii="Franklin Gothic Demi" w:hAnsi="Franklin Gothic Demi"/>
      </w:rPr>
    </w:pPr>
    <w:r>
      <w:tab/>
    </w:r>
    <w:r>
      <w:tab/>
    </w:r>
    <w:r w:rsidRPr="003637B0">
      <w:rPr>
        <w:rStyle w:val="Seitenzahl"/>
      </w:rPr>
      <w:fldChar w:fldCharType="begin"/>
    </w:r>
    <w:r w:rsidRPr="003637B0">
      <w:rPr>
        <w:rStyle w:val="Seitenzahl"/>
      </w:rPr>
      <w:instrText xml:space="preserve"> PAGE </w:instrText>
    </w:r>
    <w:r w:rsidRPr="003637B0">
      <w:rPr>
        <w:rStyle w:val="Seitenzahl"/>
      </w:rPr>
      <w:fldChar w:fldCharType="separate"/>
    </w:r>
    <w:r w:rsidR="00636CAF">
      <w:rPr>
        <w:rStyle w:val="Seitenzahl"/>
        <w:noProof/>
      </w:rPr>
      <w:t>4</w:t>
    </w:r>
    <w:r w:rsidRPr="003637B0">
      <w:rPr>
        <w:rStyle w:val="Seitenzahl"/>
      </w:rPr>
      <w:fldChar w:fldCharType="end"/>
    </w:r>
    <w:r w:rsidRPr="003637B0">
      <w:rPr>
        <w:rStyle w:val="Seitenzahl"/>
      </w:rPr>
      <w:t>/</w:t>
    </w:r>
    <w:r w:rsidRPr="003637B0">
      <w:rPr>
        <w:rStyle w:val="Seitenzahl"/>
      </w:rPr>
      <w:fldChar w:fldCharType="begin"/>
    </w:r>
    <w:r w:rsidRPr="003637B0">
      <w:rPr>
        <w:rStyle w:val="Seitenzahl"/>
      </w:rPr>
      <w:instrText xml:space="preserve"> NUMPAGES </w:instrText>
    </w:r>
    <w:r w:rsidRPr="003637B0">
      <w:rPr>
        <w:rStyle w:val="Seitenzahl"/>
      </w:rPr>
      <w:fldChar w:fldCharType="separate"/>
    </w:r>
    <w:r w:rsidR="00636CAF">
      <w:rPr>
        <w:rStyle w:val="Seitenzahl"/>
        <w:noProof/>
      </w:rPr>
      <w:t>13</w:t>
    </w:r>
    <w:r w:rsidRPr="003637B0">
      <w:rPr>
        <w:rStyle w:val="Seitenzah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294" w:rsidRPr="003637B0" w:rsidRDefault="00812294" w:rsidP="003637B0">
    <w:pPr>
      <w:pStyle w:val="Fuzeile"/>
      <w:rPr>
        <w:rFonts w:ascii="Franklin Gothic Demi" w:hAnsi="Franklin Gothic Demi"/>
      </w:rPr>
    </w:pPr>
    <w:r>
      <w:tab/>
    </w:r>
    <w:r>
      <w:tab/>
    </w:r>
    <w:r w:rsidRPr="003637B0">
      <w:rPr>
        <w:rStyle w:val="Seitenzahl"/>
      </w:rPr>
      <w:fldChar w:fldCharType="begin"/>
    </w:r>
    <w:r w:rsidRPr="003637B0">
      <w:rPr>
        <w:rStyle w:val="Seitenzahl"/>
      </w:rPr>
      <w:instrText xml:space="preserve"> PAGE </w:instrText>
    </w:r>
    <w:r w:rsidRPr="003637B0">
      <w:rPr>
        <w:rStyle w:val="Seitenzahl"/>
      </w:rPr>
      <w:fldChar w:fldCharType="separate"/>
    </w:r>
    <w:r w:rsidR="00636CAF">
      <w:rPr>
        <w:rStyle w:val="Seitenzahl"/>
        <w:noProof/>
      </w:rPr>
      <w:t>3</w:t>
    </w:r>
    <w:r w:rsidRPr="003637B0">
      <w:rPr>
        <w:rStyle w:val="Seitenzahl"/>
      </w:rPr>
      <w:fldChar w:fldCharType="end"/>
    </w:r>
    <w:r w:rsidRPr="003637B0">
      <w:rPr>
        <w:rStyle w:val="Seitenzahl"/>
      </w:rPr>
      <w:t>/</w:t>
    </w:r>
    <w:r w:rsidRPr="003637B0">
      <w:rPr>
        <w:rStyle w:val="Seitenzahl"/>
      </w:rPr>
      <w:fldChar w:fldCharType="begin"/>
    </w:r>
    <w:r w:rsidRPr="003637B0">
      <w:rPr>
        <w:rStyle w:val="Seitenzahl"/>
      </w:rPr>
      <w:instrText xml:space="preserve"> NUMPAGES </w:instrText>
    </w:r>
    <w:r w:rsidRPr="003637B0">
      <w:rPr>
        <w:rStyle w:val="Seitenzahl"/>
      </w:rPr>
      <w:fldChar w:fldCharType="separate"/>
    </w:r>
    <w:r w:rsidR="00636CAF">
      <w:rPr>
        <w:rStyle w:val="Seitenzahl"/>
        <w:noProof/>
      </w:rPr>
      <w:t>13</w:t>
    </w:r>
    <w:r w:rsidRPr="003637B0">
      <w:rPr>
        <w:rStyle w:val="Seitenzah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389" w:rsidRDefault="004B4389">
      <w:r>
        <w:separator/>
      </w:r>
    </w:p>
  </w:footnote>
  <w:footnote w:type="continuationSeparator" w:id="0">
    <w:p w:rsidR="004B4389" w:rsidRDefault="004B4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294" w:rsidRDefault="00812294" w:rsidP="003637B0">
    <w:pPr>
      <w:pStyle w:val="Kopfzeile"/>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294" w:rsidRDefault="00812294">
    <w:pPr>
      <w:pStyle w:val="Kopfzeile"/>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294" w:rsidRDefault="00812294" w:rsidP="007F191F">
    <w:pPr>
      <w:pStyle w:val="Kopfzeile"/>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3110"/>
    <w:multiLevelType w:val="hybridMultilevel"/>
    <w:tmpl w:val="98B272FC"/>
    <w:lvl w:ilvl="0" w:tplc="AFA27E12">
      <w:start w:val="1"/>
      <w:numFmt w:val="lowerLetter"/>
      <w:pStyle w:val="Odrkya"/>
      <w:lvlText w:val="%1)"/>
      <w:lvlJc w:val="left"/>
      <w:pPr>
        <w:tabs>
          <w:tab w:val="num" w:pos="567"/>
        </w:tabs>
        <w:ind w:left="567" w:hanging="283"/>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44A0750"/>
    <w:multiLevelType w:val="hybridMultilevel"/>
    <w:tmpl w:val="5EFC577A"/>
    <w:lvl w:ilvl="0" w:tplc="A020801A">
      <w:start w:val="1"/>
      <w:numFmt w:val="bullet"/>
      <w:pStyle w:val="Odrky"/>
      <w:lvlText w:val="▪"/>
      <w:lvlJc w:val="left"/>
      <w:pPr>
        <w:tabs>
          <w:tab w:val="num" w:pos="284"/>
        </w:tabs>
        <w:ind w:left="567" w:hanging="283"/>
      </w:pPr>
      <w:rPr>
        <w:rFonts w:ascii="Times New Roman" w:hAnsi="Times New Roman" w:cs="Times New Roman" w:hint="default"/>
        <w:b w:val="0"/>
        <w:i w:val="0"/>
        <w:color w:val="auto"/>
        <w:sz w:val="24"/>
        <w:szCs w:val="24"/>
      </w:rPr>
    </w:lvl>
    <w:lvl w:ilvl="1" w:tplc="0B980B32">
      <w:start w:val="1"/>
      <w:numFmt w:val="bullet"/>
      <w:lvlText w:val="o"/>
      <w:lvlJc w:val="left"/>
      <w:pPr>
        <w:tabs>
          <w:tab w:val="num" w:pos="1440"/>
        </w:tabs>
        <w:ind w:left="1440" w:hanging="360"/>
      </w:pPr>
      <w:rPr>
        <w:rFonts w:ascii="Courier New" w:hAnsi="Courier New" w:cs="Courier New" w:hint="default"/>
      </w:rPr>
    </w:lvl>
    <w:lvl w:ilvl="2" w:tplc="CA887992">
      <w:start w:val="1"/>
      <w:numFmt w:val="bullet"/>
      <w:lvlText w:val=""/>
      <w:lvlJc w:val="left"/>
      <w:pPr>
        <w:tabs>
          <w:tab w:val="num" w:pos="2160"/>
        </w:tabs>
        <w:ind w:left="2160" w:hanging="360"/>
      </w:pPr>
      <w:rPr>
        <w:rFonts w:ascii="Wingdings" w:hAnsi="Wingdings" w:hint="default"/>
      </w:rPr>
    </w:lvl>
    <w:lvl w:ilvl="3" w:tplc="4338168C" w:tentative="1">
      <w:start w:val="1"/>
      <w:numFmt w:val="bullet"/>
      <w:lvlText w:val=""/>
      <w:lvlJc w:val="left"/>
      <w:pPr>
        <w:tabs>
          <w:tab w:val="num" w:pos="2880"/>
        </w:tabs>
        <w:ind w:left="2880" w:hanging="360"/>
      </w:pPr>
      <w:rPr>
        <w:rFonts w:ascii="Symbol" w:hAnsi="Symbol" w:hint="default"/>
      </w:rPr>
    </w:lvl>
    <w:lvl w:ilvl="4" w:tplc="4300C956" w:tentative="1">
      <w:start w:val="1"/>
      <w:numFmt w:val="bullet"/>
      <w:lvlText w:val="o"/>
      <w:lvlJc w:val="left"/>
      <w:pPr>
        <w:tabs>
          <w:tab w:val="num" w:pos="3600"/>
        </w:tabs>
        <w:ind w:left="3600" w:hanging="360"/>
      </w:pPr>
      <w:rPr>
        <w:rFonts w:ascii="Courier New" w:hAnsi="Courier New" w:cs="Courier New" w:hint="default"/>
      </w:rPr>
    </w:lvl>
    <w:lvl w:ilvl="5" w:tplc="9788EC4E" w:tentative="1">
      <w:start w:val="1"/>
      <w:numFmt w:val="bullet"/>
      <w:lvlText w:val=""/>
      <w:lvlJc w:val="left"/>
      <w:pPr>
        <w:tabs>
          <w:tab w:val="num" w:pos="4320"/>
        </w:tabs>
        <w:ind w:left="4320" w:hanging="360"/>
      </w:pPr>
      <w:rPr>
        <w:rFonts w:ascii="Wingdings" w:hAnsi="Wingdings" w:hint="default"/>
      </w:rPr>
    </w:lvl>
    <w:lvl w:ilvl="6" w:tplc="14404406" w:tentative="1">
      <w:start w:val="1"/>
      <w:numFmt w:val="bullet"/>
      <w:lvlText w:val=""/>
      <w:lvlJc w:val="left"/>
      <w:pPr>
        <w:tabs>
          <w:tab w:val="num" w:pos="5040"/>
        </w:tabs>
        <w:ind w:left="5040" w:hanging="360"/>
      </w:pPr>
      <w:rPr>
        <w:rFonts w:ascii="Symbol" w:hAnsi="Symbol" w:hint="default"/>
      </w:rPr>
    </w:lvl>
    <w:lvl w:ilvl="7" w:tplc="2A4E3E14" w:tentative="1">
      <w:start w:val="1"/>
      <w:numFmt w:val="bullet"/>
      <w:lvlText w:val="o"/>
      <w:lvlJc w:val="left"/>
      <w:pPr>
        <w:tabs>
          <w:tab w:val="num" w:pos="5760"/>
        </w:tabs>
        <w:ind w:left="5760" w:hanging="360"/>
      </w:pPr>
      <w:rPr>
        <w:rFonts w:ascii="Courier New" w:hAnsi="Courier New" w:cs="Courier New" w:hint="default"/>
      </w:rPr>
    </w:lvl>
    <w:lvl w:ilvl="8" w:tplc="E9ECC392" w:tentative="1">
      <w:start w:val="1"/>
      <w:numFmt w:val="bullet"/>
      <w:lvlText w:val=""/>
      <w:lvlJc w:val="left"/>
      <w:pPr>
        <w:tabs>
          <w:tab w:val="num" w:pos="6480"/>
        </w:tabs>
        <w:ind w:left="6480" w:hanging="360"/>
      </w:pPr>
      <w:rPr>
        <w:rFonts w:ascii="Wingdings" w:hAnsi="Wingdings" w:hint="default"/>
      </w:rPr>
    </w:lvl>
  </w:abstractNum>
  <w:abstractNum w:abstractNumId="2">
    <w:nsid w:val="1932524D"/>
    <w:multiLevelType w:val="hybridMultilevel"/>
    <w:tmpl w:val="D812A602"/>
    <w:lvl w:ilvl="0" w:tplc="EC52B640">
      <w:start w:val="1"/>
      <w:numFmt w:val="decimal"/>
      <w:pStyle w:val="Odrkyposlovn"/>
      <w:lvlText w:val="Obr. %1."/>
      <w:lvlJc w:val="left"/>
      <w:pPr>
        <w:tabs>
          <w:tab w:val="num" w:pos="851"/>
        </w:tabs>
        <w:ind w:left="851" w:hanging="851"/>
      </w:pPr>
      <w:rPr>
        <w:rFonts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EBA6E76"/>
    <w:multiLevelType w:val="hybridMultilevel"/>
    <w:tmpl w:val="F1E0C552"/>
    <w:lvl w:ilvl="0" w:tplc="F8C42662">
      <w:start w:val="1"/>
      <w:numFmt w:val="bullet"/>
      <w:pStyle w:val="Texttabulky"/>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FD56568"/>
    <w:multiLevelType w:val="multilevel"/>
    <w:tmpl w:val="C8E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90406"/>
    <w:multiLevelType w:val="hybridMultilevel"/>
    <w:tmpl w:val="0BD68F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Tlwg Typo" w:hAnsi="Tlwg Typo" w:cs="Tlwg Typo"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Tlwg Typo" w:hAnsi="Tlwg Typo" w:cs="Tlwg Typo"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Tlwg Typo" w:hAnsi="Tlwg Typo" w:cs="Tlwg Typo"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361F03EC"/>
    <w:multiLevelType w:val="hybridMultilevel"/>
    <w:tmpl w:val="749AA084"/>
    <w:lvl w:ilvl="0" w:tplc="3C945BDC">
      <w:numFmt w:val="bullet"/>
      <w:lvlText w:val="-"/>
      <w:lvlJc w:val="left"/>
      <w:pPr>
        <w:ind w:left="1065" w:hanging="360"/>
      </w:pPr>
      <w:rPr>
        <w:rFonts w:ascii="Arial" w:eastAsia="Batang"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7">
    <w:nsid w:val="3C9B3400"/>
    <w:multiLevelType w:val="hybridMultilevel"/>
    <w:tmpl w:val="3B5A7138"/>
    <w:lvl w:ilvl="0" w:tplc="59D6EC28">
      <w:start w:val="1"/>
      <w:numFmt w:val="decimal"/>
      <w:pStyle w:val="Titulekobrzku"/>
      <w:lvlText w:val="Tab. %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7CF1DA9"/>
    <w:multiLevelType w:val="hybridMultilevel"/>
    <w:tmpl w:val="8650420A"/>
    <w:lvl w:ilvl="0" w:tplc="A3C66318">
      <w:start w:val="1"/>
      <w:numFmt w:val="decimal"/>
      <w:lvlText w:val="%1."/>
      <w:lvlJc w:val="left"/>
      <w:pPr>
        <w:ind w:left="630" w:hanging="63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nsid w:val="4E3810AB"/>
    <w:multiLevelType w:val="hybridMultilevel"/>
    <w:tmpl w:val="0060D5CC"/>
    <w:lvl w:ilvl="0" w:tplc="951A761E">
      <w:numFmt w:val="bullet"/>
      <w:lvlText w:val="-"/>
      <w:lvlJc w:val="left"/>
      <w:pPr>
        <w:ind w:left="720" w:hanging="360"/>
      </w:pPr>
      <w:rPr>
        <w:rFonts w:ascii="Arial" w:eastAsia="Batang"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EEE480F"/>
    <w:multiLevelType w:val="hybridMultilevel"/>
    <w:tmpl w:val="AEAC7C9A"/>
    <w:lvl w:ilvl="0" w:tplc="BD2833A2">
      <w:start w:val="1"/>
      <w:numFmt w:val="decimal"/>
      <w:pStyle w:val="1slovn"/>
      <w:lvlText w:val="%1."/>
      <w:lvlJc w:val="left"/>
      <w:pPr>
        <w:tabs>
          <w:tab w:val="num" w:pos="567"/>
        </w:tabs>
        <w:ind w:left="567" w:hanging="283"/>
      </w:pPr>
      <w:rPr>
        <w:rFonts w:hint="default"/>
        <w:b w:val="0"/>
        <w:i w:val="0"/>
        <w:color w:val="auto"/>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4FA510A"/>
    <w:multiLevelType w:val="multilevel"/>
    <w:tmpl w:val="8AC654DE"/>
    <w:lvl w:ilvl="0">
      <w:start w:val="1"/>
      <w:numFmt w:val="decimal"/>
      <w:pStyle w:val="slovn"/>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2B02D08"/>
    <w:multiLevelType w:val="hybridMultilevel"/>
    <w:tmpl w:val="9F6A1E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Tlwg Typo" w:hAnsi="Tlwg Typo" w:cs="Tlwg Typo"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Tlwg Typo" w:hAnsi="Tlwg Typo" w:cs="Tlwg Typo"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Tlwg Typo" w:hAnsi="Tlwg Typo" w:cs="Tlwg Typo"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10"/>
  </w:num>
  <w:num w:numId="5">
    <w:abstractNumId w:val="2"/>
  </w:num>
  <w:num w:numId="6">
    <w:abstractNumId w:val="3"/>
  </w:num>
  <w:num w:numId="7">
    <w:abstractNumId w:val="7"/>
  </w:num>
  <w:num w:numId="8">
    <w:abstractNumId w:val="4"/>
  </w:num>
  <w:num w:numId="9">
    <w:abstractNumId w:val="9"/>
  </w:num>
  <w:num w:numId="10">
    <w:abstractNumId w:val="6"/>
  </w:num>
  <w:num w:numId="11">
    <w:abstractNumId w:val="12"/>
  </w:num>
  <w:num w:numId="12">
    <w:abstractNumId w:val="5"/>
  </w:num>
  <w:num w:numId="13">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001"/>
  <w:defaultTabStop w:val="709"/>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1F2FDA"/>
    <w:rsid w:val="00011CF6"/>
    <w:rsid w:val="00020DA6"/>
    <w:rsid w:val="00021C16"/>
    <w:rsid w:val="00032746"/>
    <w:rsid w:val="000512A7"/>
    <w:rsid w:val="00051F62"/>
    <w:rsid w:val="00053C82"/>
    <w:rsid w:val="000607B8"/>
    <w:rsid w:val="000716C8"/>
    <w:rsid w:val="000770BD"/>
    <w:rsid w:val="0008308D"/>
    <w:rsid w:val="00092CAB"/>
    <w:rsid w:val="000938DD"/>
    <w:rsid w:val="00095629"/>
    <w:rsid w:val="00097AB8"/>
    <w:rsid w:val="000A74D3"/>
    <w:rsid w:val="000C25E2"/>
    <w:rsid w:val="000C2D3C"/>
    <w:rsid w:val="000C4FA9"/>
    <w:rsid w:val="000C6169"/>
    <w:rsid w:val="000C7046"/>
    <w:rsid w:val="000D0AEF"/>
    <w:rsid w:val="000D1E43"/>
    <w:rsid w:val="000D5C69"/>
    <w:rsid w:val="000D64AA"/>
    <w:rsid w:val="000E4DAC"/>
    <w:rsid w:val="000F4869"/>
    <w:rsid w:val="0010412C"/>
    <w:rsid w:val="00105ED8"/>
    <w:rsid w:val="00115171"/>
    <w:rsid w:val="00116CCD"/>
    <w:rsid w:val="00142E86"/>
    <w:rsid w:val="00154B27"/>
    <w:rsid w:val="00185814"/>
    <w:rsid w:val="001942F9"/>
    <w:rsid w:val="001B6507"/>
    <w:rsid w:val="001B7390"/>
    <w:rsid w:val="001B7E8C"/>
    <w:rsid w:val="001C007F"/>
    <w:rsid w:val="001C0C4C"/>
    <w:rsid w:val="001C5AB1"/>
    <w:rsid w:val="001C6CF4"/>
    <w:rsid w:val="001D373D"/>
    <w:rsid w:val="001E1BD9"/>
    <w:rsid w:val="001E3FA2"/>
    <w:rsid w:val="001E6CB7"/>
    <w:rsid w:val="001F2FDA"/>
    <w:rsid w:val="001F46B6"/>
    <w:rsid w:val="001F581D"/>
    <w:rsid w:val="00206547"/>
    <w:rsid w:val="0021432A"/>
    <w:rsid w:val="00215A95"/>
    <w:rsid w:val="002176F4"/>
    <w:rsid w:val="00222068"/>
    <w:rsid w:val="00223E2A"/>
    <w:rsid w:val="00245014"/>
    <w:rsid w:val="002450EB"/>
    <w:rsid w:val="00254E67"/>
    <w:rsid w:val="0026458C"/>
    <w:rsid w:val="00277319"/>
    <w:rsid w:val="00287286"/>
    <w:rsid w:val="002907AD"/>
    <w:rsid w:val="002A5247"/>
    <w:rsid w:val="002C53D9"/>
    <w:rsid w:val="002D0253"/>
    <w:rsid w:val="002E739A"/>
    <w:rsid w:val="00301BE0"/>
    <w:rsid w:val="0030596C"/>
    <w:rsid w:val="00311EFB"/>
    <w:rsid w:val="00322B4C"/>
    <w:rsid w:val="00324E3E"/>
    <w:rsid w:val="0033374B"/>
    <w:rsid w:val="003562A0"/>
    <w:rsid w:val="003565E3"/>
    <w:rsid w:val="003637B0"/>
    <w:rsid w:val="00373A31"/>
    <w:rsid w:val="00380407"/>
    <w:rsid w:val="0038423D"/>
    <w:rsid w:val="00387EF6"/>
    <w:rsid w:val="00391612"/>
    <w:rsid w:val="00397638"/>
    <w:rsid w:val="003A13F5"/>
    <w:rsid w:val="003A34C3"/>
    <w:rsid w:val="003A3E07"/>
    <w:rsid w:val="003A5A29"/>
    <w:rsid w:val="003C24F6"/>
    <w:rsid w:val="003D1DEF"/>
    <w:rsid w:val="003D5AF6"/>
    <w:rsid w:val="003E02F9"/>
    <w:rsid w:val="003E2D89"/>
    <w:rsid w:val="003E53D6"/>
    <w:rsid w:val="003F06C4"/>
    <w:rsid w:val="003F2C59"/>
    <w:rsid w:val="004025EF"/>
    <w:rsid w:val="00406678"/>
    <w:rsid w:val="00407DD6"/>
    <w:rsid w:val="0041221F"/>
    <w:rsid w:val="00414268"/>
    <w:rsid w:val="00436B68"/>
    <w:rsid w:val="00440F40"/>
    <w:rsid w:val="00442E7A"/>
    <w:rsid w:val="004457B9"/>
    <w:rsid w:val="00453234"/>
    <w:rsid w:val="00453B80"/>
    <w:rsid w:val="00461447"/>
    <w:rsid w:val="00484B40"/>
    <w:rsid w:val="00495A7F"/>
    <w:rsid w:val="00497024"/>
    <w:rsid w:val="004A3EBA"/>
    <w:rsid w:val="004A78F4"/>
    <w:rsid w:val="004B4389"/>
    <w:rsid w:val="004C636A"/>
    <w:rsid w:val="004C65C9"/>
    <w:rsid w:val="004D456B"/>
    <w:rsid w:val="004D72C0"/>
    <w:rsid w:val="004D7B9F"/>
    <w:rsid w:val="004F0FAD"/>
    <w:rsid w:val="004F1BEF"/>
    <w:rsid w:val="004F2299"/>
    <w:rsid w:val="004F36C9"/>
    <w:rsid w:val="005013FF"/>
    <w:rsid w:val="00501CF3"/>
    <w:rsid w:val="00514BBC"/>
    <w:rsid w:val="00524B3A"/>
    <w:rsid w:val="005326B7"/>
    <w:rsid w:val="005448D3"/>
    <w:rsid w:val="00550CC3"/>
    <w:rsid w:val="0056452F"/>
    <w:rsid w:val="00564D4D"/>
    <w:rsid w:val="00573A77"/>
    <w:rsid w:val="00581C14"/>
    <w:rsid w:val="0058496C"/>
    <w:rsid w:val="005940D6"/>
    <w:rsid w:val="00596843"/>
    <w:rsid w:val="005A086B"/>
    <w:rsid w:val="005A194F"/>
    <w:rsid w:val="005A4029"/>
    <w:rsid w:val="005A7A77"/>
    <w:rsid w:val="005B365A"/>
    <w:rsid w:val="005B6E69"/>
    <w:rsid w:val="005C2282"/>
    <w:rsid w:val="005C7400"/>
    <w:rsid w:val="005D5B16"/>
    <w:rsid w:val="005D7AB1"/>
    <w:rsid w:val="005E0B06"/>
    <w:rsid w:val="005E5BE6"/>
    <w:rsid w:val="005F7276"/>
    <w:rsid w:val="00600563"/>
    <w:rsid w:val="00601BEF"/>
    <w:rsid w:val="00601CE0"/>
    <w:rsid w:val="006034FA"/>
    <w:rsid w:val="00603CBD"/>
    <w:rsid w:val="00636CAF"/>
    <w:rsid w:val="00642934"/>
    <w:rsid w:val="00660662"/>
    <w:rsid w:val="00670989"/>
    <w:rsid w:val="00693C5F"/>
    <w:rsid w:val="00694B5D"/>
    <w:rsid w:val="0069771B"/>
    <w:rsid w:val="006A65CA"/>
    <w:rsid w:val="006A75A7"/>
    <w:rsid w:val="006B2B01"/>
    <w:rsid w:val="006B5931"/>
    <w:rsid w:val="006E15CD"/>
    <w:rsid w:val="006E76C5"/>
    <w:rsid w:val="006F107F"/>
    <w:rsid w:val="006F1396"/>
    <w:rsid w:val="006F14D1"/>
    <w:rsid w:val="006F47B5"/>
    <w:rsid w:val="006F5EC1"/>
    <w:rsid w:val="00704FF5"/>
    <w:rsid w:val="007138CE"/>
    <w:rsid w:val="007273F8"/>
    <w:rsid w:val="007314A1"/>
    <w:rsid w:val="0073799E"/>
    <w:rsid w:val="0075094B"/>
    <w:rsid w:val="00753764"/>
    <w:rsid w:val="00761E92"/>
    <w:rsid w:val="00766A10"/>
    <w:rsid w:val="00795629"/>
    <w:rsid w:val="00796F8C"/>
    <w:rsid w:val="0079742E"/>
    <w:rsid w:val="007A29A6"/>
    <w:rsid w:val="007A2DF9"/>
    <w:rsid w:val="007B5FCC"/>
    <w:rsid w:val="007E0E25"/>
    <w:rsid w:val="007E6C77"/>
    <w:rsid w:val="007F191F"/>
    <w:rsid w:val="007F23F6"/>
    <w:rsid w:val="007F44F5"/>
    <w:rsid w:val="00806EC7"/>
    <w:rsid w:val="00807639"/>
    <w:rsid w:val="00812294"/>
    <w:rsid w:val="00812C92"/>
    <w:rsid w:val="00821BB5"/>
    <w:rsid w:val="00823502"/>
    <w:rsid w:val="008550F0"/>
    <w:rsid w:val="008664F0"/>
    <w:rsid w:val="00866CC7"/>
    <w:rsid w:val="00872E9A"/>
    <w:rsid w:val="0088548E"/>
    <w:rsid w:val="008951FF"/>
    <w:rsid w:val="008A1474"/>
    <w:rsid w:val="008A6D2C"/>
    <w:rsid w:val="008B0401"/>
    <w:rsid w:val="008B3E17"/>
    <w:rsid w:val="008C507D"/>
    <w:rsid w:val="008E0F70"/>
    <w:rsid w:val="008F14DE"/>
    <w:rsid w:val="00911F4E"/>
    <w:rsid w:val="00917A3A"/>
    <w:rsid w:val="0092302C"/>
    <w:rsid w:val="0092595C"/>
    <w:rsid w:val="0093225A"/>
    <w:rsid w:val="00943BC8"/>
    <w:rsid w:val="009458D3"/>
    <w:rsid w:val="00955957"/>
    <w:rsid w:val="009746A9"/>
    <w:rsid w:val="00974CFB"/>
    <w:rsid w:val="00986026"/>
    <w:rsid w:val="009B2F60"/>
    <w:rsid w:val="009B3D01"/>
    <w:rsid w:val="009B417E"/>
    <w:rsid w:val="009C0888"/>
    <w:rsid w:val="009C26D9"/>
    <w:rsid w:val="009C5F1F"/>
    <w:rsid w:val="009D37F8"/>
    <w:rsid w:val="009D5F53"/>
    <w:rsid w:val="009E2D53"/>
    <w:rsid w:val="009F02A0"/>
    <w:rsid w:val="009F1C35"/>
    <w:rsid w:val="009F45D3"/>
    <w:rsid w:val="009F7B4C"/>
    <w:rsid w:val="00A008B9"/>
    <w:rsid w:val="00A01B1A"/>
    <w:rsid w:val="00A0753A"/>
    <w:rsid w:val="00A10747"/>
    <w:rsid w:val="00A22A76"/>
    <w:rsid w:val="00A34156"/>
    <w:rsid w:val="00A415DA"/>
    <w:rsid w:val="00A43E2B"/>
    <w:rsid w:val="00A56EF9"/>
    <w:rsid w:val="00A62E22"/>
    <w:rsid w:val="00A7612A"/>
    <w:rsid w:val="00A76776"/>
    <w:rsid w:val="00A96889"/>
    <w:rsid w:val="00AA62E2"/>
    <w:rsid w:val="00AA6AA1"/>
    <w:rsid w:val="00AC391A"/>
    <w:rsid w:val="00AC52A0"/>
    <w:rsid w:val="00AD299B"/>
    <w:rsid w:val="00AD2D03"/>
    <w:rsid w:val="00AF27BC"/>
    <w:rsid w:val="00B04442"/>
    <w:rsid w:val="00B05893"/>
    <w:rsid w:val="00B10549"/>
    <w:rsid w:val="00B1167B"/>
    <w:rsid w:val="00B12363"/>
    <w:rsid w:val="00B15427"/>
    <w:rsid w:val="00B17B6B"/>
    <w:rsid w:val="00B22094"/>
    <w:rsid w:val="00B26880"/>
    <w:rsid w:val="00B327CC"/>
    <w:rsid w:val="00B5296A"/>
    <w:rsid w:val="00B55650"/>
    <w:rsid w:val="00B60BCD"/>
    <w:rsid w:val="00B72030"/>
    <w:rsid w:val="00B93CF7"/>
    <w:rsid w:val="00BA0126"/>
    <w:rsid w:val="00BB2EAF"/>
    <w:rsid w:val="00BB3EFE"/>
    <w:rsid w:val="00BD27D7"/>
    <w:rsid w:val="00BD3A19"/>
    <w:rsid w:val="00BD65D8"/>
    <w:rsid w:val="00BD75AB"/>
    <w:rsid w:val="00BE70CC"/>
    <w:rsid w:val="00BF102F"/>
    <w:rsid w:val="00BF145B"/>
    <w:rsid w:val="00C21DE4"/>
    <w:rsid w:val="00C24360"/>
    <w:rsid w:val="00C3574C"/>
    <w:rsid w:val="00C424A2"/>
    <w:rsid w:val="00C55995"/>
    <w:rsid w:val="00C562B0"/>
    <w:rsid w:val="00C84822"/>
    <w:rsid w:val="00C9007A"/>
    <w:rsid w:val="00C96CC1"/>
    <w:rsid w:val="00CA0309"/>
    <w:rsid w:val="00CA4176"/>
    <w:rsid w:val="00CA5FF0"/>
    <w:rsid w:val="00CE489E"/>
    <w:rsid w:val="00D01D7A"/>
    <w:rsid w:val="00D17FBB"/>
    <w:rsid w:val="00D33179"/>
    <w:rsid w:val="00D33F1D"/>
    <w:rsid w:val="00D4126C"/>
    <w:rsid w:val="00D47783"/>
    <w:rsid w:val="00D54ACA"/>
    <w:rsid w:val="00D63EBE"/>
    <w:rsid w:val="00D641FB"/>
    <w:rsid w:val="00D67A25"/>
    <w:rsid w:val="00D737DC"/>
    <w:rsid w:val="00D80629"/>
    <w:rsid w:val="00D86F38"/>
    <w:rsid w:val="00D96C82"/>
    <w:rsid w:val="00DA00DC"/>
    <w:rsid w:val="00DA0D33"/>
    <w:rsid w:val="00DA332C"/>
    <w:rsid w:val="00DB52B8"/>
    <w:rsid w:val="00DB7F5E"/>
    <w:rsid w:val="00DC49AB"/>
    <w:rsid w:val="00DD08E8"/>
    <w:rsid w:val="00DD27DC"/>
    <w:rsid w:val="00DE009D"/>
    <w:rsid w:val="00DE7739"/>
    <w:rsid w:val="00DF7159"/>
    <w:rsid w:val="00DF7F10"/>
    <w:rsid w:val="00E05097"/>
    <w:rsid w:val="00E206D5"/>
    <w:rsid w:val="00E30E7C"/>
    <w:rsid w:val="00E30EDF"/>
    <w:rsid w:val="00E3425F"/>
    <w:rsid w:val="00E4249B"/>
    <w:rsid w:val="00E42FE9"/>
    <w:rsid w:val="00E43D8E"/>
    <w:rsid w:val="00E44207"/>
    <w:rsid w:val="00E472E9"/>
    <w:rsid w:val="00E51FEF"/>
    <w:rsid w:val="00E55078"/>
    <w:rsid w:val="00E55B7F"/>
    <w:rsid w:val="00E667CC"/>
    <w:rsid w:val="00E72961"/>
    <w:rsid w:val="00E77048"/>
    <w:rsid w:val="00E7767C"/>
    <w:rsid w:val="00E853DE"/>
    <w:rsid w:val="00E97400"/>
    <w:rsid w:val="00EB7F62"/>
    <w:rsid w:val="00EC28A9"/>
    <w:rsid w:val="00EC5D0C"/>
    <w:rsid w:val="00ED391A"/>
    <w:rsid w:val="00ED6BA9"/>
    <w:rsid w:val="00EE7AC2"/>
    <w:rsid w:val="00EF2832"/>
    <w:rsid w:val="00F008D1"/>
    <w:rsid w:val="00F119A9"/>
    <w:rsid w:val="00F34E00"/>
    <w:rsid w:val="00F35CE1"/>
    <w:rsid w:val="00F4287E"/>
    <w:rsid w:val="00F44111"/>
    <w:rsid w:val="00F44C98"/>
    <w:rsid w:val="00F5598C"/>
    <w:rsid w:val="00F71899"/>
    <w:rsid w:val="00F72C7D"/>
    <w:rsid w:val="00F90787"/>
    <w:rsid w:val="00FA247A"/>
    <w:rsid w:val="00FA34D5"/>
    <w:rsid w:val="00FA5082"/>
    <w:rsid w:val="00FC2599"/>
    <w:rsid w:val="00FC3AB6"/>
    <w:rsid w:val="00FE05E0"/>
    <w:rsid w:val="00FF4B9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1C16"/>
    <w:pPr>
      <w:spacing w:before="120" w:after="120" w:line="288" w:lineRule="auto"/>
      <w:jc w:val="both"/>
    </w:pPr>
    <w:rPr>
      <w:rFonts w:ascii="Arial" w:eastAsia="Batang" w:hAnsi="Arial"/>
      <w:sz w:val="22"/>
      <w:szCs w:val="23"/>
      <w:lang w:val="cs-CZ" w:eastAsia="en-US"/>
    </w:rPr>
  </w:style>
  <w:style w:type="paragraph" w:styleId="berschrift1">
    <w:name w:val="heading 1"/>
    <w:basedOn w:val="Standard"/>
    <w:next w:val="Standard"/>
    <w:link w:val="berschrift1Zchn"/>
    <w:uiPriority w:val="9"/>
    <w:qFormat/>
    <w:rsid w:val="00A76776"/>
    <w:pPr>
      <w:keepNext/>
      <w:tabs>
        <w:tab w:val="left" w:pos="624"/>
      </w:tabs>
      <w:suppressAutoHyphens/>
      <w:spacing w:before="480" w:line="240" w:lineRule="auto"/>
      <w:jc w:val="left"/>
      <w:outlineLvl w:val="0"/>
    </w:pPr>
    <w:rPr>
      <w:rFonts w:cs="Arial"/>
      <w:b/>
      <w:bCs/>
      <w:smallCaps/>
      <w:color w:val="333399"/>
      <w:kern w:val="32"/>
      <w:sz w:val="27"/>
      <w:szCs w:val="26"/>
    </w:rPr>
  </w:style>
  <w:style w:type="paragraph" w:styleId="berschrift2">
    <w:name w:val="heading 2"/>
    <w:basedOn w:val="Standard"/>
    <w:next w:val="Standard"/>
    <w:qFormat/>
    <w:rsid w:val="00704FF5"/>
    <w:pPr>
      <w:keepNext/>
      <w:tabs>
        <w:tab w:val="left" w:pos="680"/>
      </w:tabs>
      <w:suppressAutoHyphens/>
      <w:spacing w:before="360" w:line="240" w:lineRule="auto"/>
      <w:ind w:left="680" w:hanging="680"/>
      <w:jc w:val="left"/>
      <w:outlineLvl w:val="1"/>
    </w:pPr>
    <w:rPr>
      <w:rFonts w:cs="Arial"/>
      <w:b/>
      <w:bCs/>
      <w:iCs/>
      <w:color w:val="333399"/>
      <w:sz w:val="24"/>
    </w:rPr>
  </w:style>
  <w:style w:type="paragraph" w:styleId="berschrift3">
    <w:name w:val="heading 3"/>
    <w:basedOn w:val="Standard"/>
    <w:next w:val="Standard"/>
    <w:qFormat/>
    <w:rsid w:val="00704FF5"/>
    <w:pPr>
      <w:keepNext/>
      <w:tabs>
        <w:tab w:val="left" w:pos="680"/>
      </w:tabs>
      <w:suppressAutoHyphens/>
      <w:spacing w:before="240" w:line="240" w:lineRule="auto"/>
      <w:jc w:val="left"/>
      <w:outlineLvl w:val="2"/>
    </w:pPr>
    <w:rPr>
      <w:rFonts w:cs="Arial"/>
      <w:b/>
      <w:bCs/>
      <w:sz w:val="23"/>
      <w:szCs w:val="26"/>
    </w:rPr>
  </w:style>
  <w:style w:type="paragraph" w:styleId="berschrift4">
    <w:name w:val="heading 4"/>
    <w:basedOn w:val="Standard"/>
    <w:next w:val="Standard"/>
    <w:qFormat/>
    <w:rsid w:val="00F4287E"/>
    <w:pPr>
      <w:keepNext/>
      <w:tabs>
        <w:tab w:val="num" w:pos="864"/>
      </w:tabs>
      <w:spacing w:before="240" w:after="60" w:line="360" w:lineRule="auto"/>
      <w:ind w:left="864" w:hanging="864"/>
      <w:outlineLvl w:val="3"/>
    </w:pPr>
    <w:rPr>
      <w:rFonts w:eastAsia="Times New Roman"/>
      <w:b/>
      <w:bCs/>
      <w:sz w:val="28"/>
      <w:szCs w:val="28"/>
      <w:lang w:eastAsia="cs-CZ"/>
    </w:rPr>
  </w:style>
  <w:style w:type="paragraph" w:styleId="berschrift6">
    <w:name w:val="heading 6"/>
    <w:basedOn w:val="Standard"/>
    <w:next w:val="Standard"/>
    <w:qFormat/>
    <w:rsid w:val="001F581D"/>
    <w:pPr>
      <w:spacing w:before="240" w:after="60"/>
      <w:outlineLvl w:val="5"/>
    </w:pPr>
    <w:rPr>
      <w:rFonts w:eastAsia="MS Mincho"/>
      <w:b/>
      <w:bCs/>
      <w:szCs w:val="22"/>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F4287E"/>
    <w:pPr>
      <w:keepNext/>
      <w:tabs>
        <w:tab w:val="left" w:pos="425"/>
        <w:tab w:val="right" w:leader="dot" w:pos="9072"/>
      </w:tabs>
      <w:spacing w:before="180" w:after="20" w:line="264" w:lineRule="auto"/>
      <w:ind w:left="425" w:right="851" w:hanging="425"/>
      <w:jc w:val="left"/>
    </w:pPr>
    <w:rPr>
      <w:b/>
      <w:szCs w:val="22"/>
    </w:rPr>
  </w:style>
  <w:style w:type="paragraph" w:customStyle="1" w:styleId="Textvtabulce">
    <w:name w:val="Text v tabulce"/>
    <w:basedOn w:val="Standard"/>
    <w:rsid w:val="001F581D"/>
    <w:pPr>
      <w:suppressAutoHyphens/>
    </w:pPr>
  </w:style>
  <w:style w:type="paragraph" w:styleId="Verzeichnis2">
    <w:name w:val="toc 2"/>
    <w:basedOn w:val="Standard"/>
    <w:next w:val="Standard"/>
    <w:autoRedefine/>
    <w:uiPriority w:val="39"/>
    <w:rsid w:val="00F4287E"/>
    <w:pPr>
      <w:tabs>
        <w:tab w:val="left" w:pos="1440"/>
        <w:tab w:val="right" w:leader="dot" w:pos="9072"/>
      </w:tabs>
      <w:spacing w:before="60" w:after="20" w:line="264" w:lineRule="auto"/>
      <w:ind w:left="879" w:right="851" w:hanging="454"/>
      <w:jc w:val="left"/>
    </w:pPr>
  </w:style>
  <w:style w:type="paragraph" w:customStyle="1" w:styleId="Titulektabulky">
    <w:name w:val="Titulek tabulky"/>
    <w:basedOn w:val="Standard"/>
    <w:next w:val="Standard"/>
    <w:rsid w:val="00F4287E"/>
    <w:pPr>
      <w:keepNext/>
      <w:keepLines/>
      <w:tabs>
        <w:tab w:val="num" w:pos="1364"/>
      </w:tabs>
      <w:suppressAutoHyphens/>
      <w:spacing w:before="360" w:line="360" w:lineRule="auto"/>
      <w:ind w:left="1364" w:hanging="284"/>
    </w:pPr>
    <w:rPr>
      <w:rFonts w:eastAsia="Times New Roman"/>
      <w:b/>
      <w:sz w:val="24"/>
      <w:szCs w:val="24"/>
      <w:lang w:eastAsia="cs-CZ"/>
    </w:rPr>
  </w:style>
  <w:style w:type="paragraph" w:styleId="Kopfzeile">
    <w:name w:val="header"/>
    <w:basedOn w:val="Standard"/>
    <w:rsid w:val="005C2282"/>
    <w:pPr>
      <w:tabs>
        <w:tab w:val="center" w:pos="4536"/>
        <w:tab w:val="right" w:pos="9072"/>
      </w:tabs>
      <w:spacing w:before="0" w:after="0" w:line="240" w:lineRule="auto"/>
    </w:pPr>
    <w:rPr>
      <w:sz w:val="20"/>
    </w:rPr>
  </w:style>
  <w:style w:type="paragraph" w:styleId="Fuzeile">
    <w:name w:val="footer"/>
    <w:basedOn w:val="Standard"/>
    <w:rsid w:val="001F581D"/>
    <w:pPr>
      <w:tabs>
        <w:tab w:val="center" w:pos="4536"/>
        <w:tab w:val="right" w:pos="9072"/>
      </w:tabs>
      <w:spacing w:before="20"/>
    </w:pPr>
    <w:rPr>
      <w:sz w:val="20"/>
    </w:rPr>
  </w:style>
  <w:style w:type="paragraph" w:customStyle="1" w:styleId="Titulekobrzku">
    <w:name w:val="Titulek obrázku"/>
    <w:basedOn w:val="Standard"/>
    <w:next w:val="Standard"/>
    <w:rsid w:val="00F4287E"/>
    <w:pPr>
      <w:keepLines/>
      <w:numPr>
        <w:numId w:val="7"/>
      </w:numPr>
      <w:suppressAutoHyphens/>
      <w:spacing w:after="240" w:line="360" w:lineRule="auto"/>
    </w:pPr>
    <w:rPr>
      <w:rFonts w:eastAsia="Times New Roman"/>
      <w:b/>
      <w:sz w:val="24"/>
      <w:szCs w:val="24"/>
      <w:lang w:eastAsia="cs-CZ"/>
    </w:rPr>
  </w:style>
  <w:style w:type="paragraph" w:customStyle="1" w:styleId="Odrky">
    <w:name w:val="Odrážky"/>
    <w:basedOn w:val="Standard"/>
    <w:rsid w:val="006A75A7"/>
    <w:pPr>
      <w:numPr>
        <w:numId w:val="2"/>
      </w:numPr>
      <w:tabs>
        <w:tab w:val="left" w:pos="567"/>
      </w:tabs>
      <w:spacing w:before="20" w:after="0"/>
      <w:ind w:left="568" w:hanging="284"/>
    </w:pPr>
  </w:style>
  <w:style w:type="paragraph" w:customStyle="1" w:styleId="slovn">
    <w:name w:val="Číslování"/>
    <w:basedOn w:val="Standard"/>
    <w:next w:val="Standard"/>
    <w:rsid w:val="00A76776"/>
    <w:pPr>
      <w:numPr>
        <w:numId w:val="1"/>
      </w:numPr>
      <w:tabs>
        <w:tab w:val="left" w:pos="397"/>
      </w:tabs>
      <w:suppressAutoHyphens/>
      <w:spacing w:before="0"/>
    </w:pPr>
    <w:rPr>
      <w:lang w:eastAsia="cs-CZ"/>
    </w:rPr>
  </w:style>
  <w:style w:type="paragraph" w:customStyle="1" w:styleId="Odrky0">
    <w:name w:val="Odrážky –"/>
    <w:basedOn w:val="Odrky"/>
    <w:rsid w:val="00F4287E"/>
    <w:pPr>
      <w:numPr>
        <w:numId w:val="0"/>
      </w:numPr>
    </w:pPr>
  </w:style>
  <w:style w:type="character" w:styleId="Hyperlink">
    <w:name w:val="Hyperlink"/>
    <w:uiPriority w:val="99"/>
    <w:rsid w:val="00F4287E"/>
    <w:rPr>
      <w:rFonts w:ascii="Arial" w:hAnsi="Arial"/>
      <w:color w:val="0000FF"/>
      <w:sz w:val="22"/>
      <w:szCs w:val="22"/>
      <w:u w:val="dotted"/>
      <w:lang w:val="en-US" w:eastAsia="en-US" w:bidi="ar-SA"/>
    </w:rPr>
  </w:style>
  <w:style w:type="paragraph" w:styleId="Verzeichnis3">
    <w:name w:val="toc 3"/>
    <w:basedOn w:val="Standard"/>
    <w:next w:val="Standard"/>
    <w:autoRedefine/>
    <w:semiHidden/>
    <w:rsid w:val="00F4287E"/>
    <w:pPr>
      <w:tabs>
        <w:tab w:val="right" w:leader="dot" w:pos="9072"/>
      </w:tabs>
      <w:spacing w:before="20" w:after="20" w:line="264" w:lineRule="auto"/>
      <w:ind w:left="1446" w:right="851" w:hanging="567"/>
      <w:jc w:val="left"/>
    </w:pPr>
    <w:rPr>
      <w:noProof/>
      <w:spacing w:val="-4"/>
      <w:sz w:val="21"/>
    </w:rPr>
  </w:style>
  <w:style w:type="character" w:styleId="Seitenzahl">
    <w:name w:val="page number"/>
    <w:rsid w:val="00F4287E"/>
    <w:rPr>
      <w:rFonts w:ascii="Franklin Gothic Demi" w:hAnsi="Franklin Gothic Demi"/>
      <w:sz w:val="20"/>
      <w:szCs w:val="22"/>
      <w:lang w:val="en-US" w:eastAsia="en-US" w:bidi="ar-SA"/>
    </w:rPr>
  </w:style>
  <w:style w:type="paragraph" w:styleId="Verzeichnis4">
    <w:name w:val="toc 4"/>
    <w:basedOn w:val="Standard"/>
    <w:next w:val="Standard"/>
    <w:semiHidden/>
    <w:rsid w:val="001F581D"/>
    <w:pPr>
      <w:tabs>
        <w:tab w:val="left" w:pos="1786"/>
        <w:tab w:val="right" w:leader="dot" w:pos="9072"/>
      </w:tabs>
      <w:ind w:left="1786" w:right="851" w:hanging="737"/>
    </w:pPr>
  </w:style>
  <w:style w:type="paragraph" w:styleId="Aufzhlungszeichen">
    <w:name w:val="List Bullet"/>
    <w:basedOn w:val="Standard"/>
    <w:autoRedefine/>
    <w:rsid w:val="001F581D"/>
    <w:pPr>
      <w:spacing w:before="60" w:after="60"/>
    </w:pPr>
    <w:rPr>
      <w:rFonts w:eastAsia="MS Mincho"/>
      <w:b/>
    </w:rPr>
  </w:style>
  <w:style w:type="paragraph" w:styleId="Textkrper">
    <w:name w:val="Body Text"/>
    <w:basedOn w:val="Standard"/>
    <w:rsid w:val="00F4287E"/>
    <w:pPr>
      <w:spacing w:before="0" w:after="0" w:line="240" w:lineRule="auto"/>
      <w:jc w:val="left"/>
    </w:pPr>
    <w:rPr>
      <w:rFonts w:eastAsia="Times New Roman"/>
      <w:color w:val="000000"/>
      <w:sz w:val="24"/>
      <w:szCs w:val="20"/>
      <w:lang w:eastAsia="cs-CZ"/>
    </w:rPr>
  </w:style>
  <w:style w:type="paragraph" w:styleId="Textkrper3">
    <w:name w:val="Body Text 3"/>
    <w:basedOn w:val="Standard"/>
    <w:rsid w:val="001F581D"/>
    <w:pPr>
      <w:tabs>
        <w:tab w:val="left" w:pos="1080"/>
      </w:tabs>
      <w:spacing w:before="60" w:after="60"/>
    </w:pPr>
    <w:rPr>
      <w:rFonts w:eastAsia="MS Mincho"/>
      <w:b/>
      <w:szCs w:val="20"/>
    </w:rPr>
  </w:style>
  <w:style w:type="paragraph" w:customStyle="1" w:styleId="30510">
    <w:name w:val="Стиль Заголовок 3 + Слева:  051 см Первая строка:  0 см"/>
    <w:basedOn w:val="berschrift3"/>
    <w:autoRedefine/>
    <w:rsid w:val="00B04442"/>
    <w:pPr>
      <w:spacing w:after="60"/>
      <w:ind w:left="288"/>
      <w:jc w:val="both"/>
    </w:pPr>
    <w:rPr>
      <w:rFonts w:ascii="Tahoma" w:hAnsi="Tahoma" w:cs="Times New Roman"/>
      <w:sz w:val="26"/>
      <w:szCs w:val="20"/>
      <w:lang w:val="ru-RU" w:eastAsia="ru-RU"/>
    </w:rPr>
  </w:style>
  <w:style w:type="paragraph" w:customStyle="1" w:styleId="1slovn">
    <w:name w:val="1. číslování"/>
    <w:basedOn w:val="Odrkya"/>
    <w:rsid w:val="00F4287E"/>
    <w:pPr>
      <w:numPr>
        <w:numId w:val="4"/>
      </w:numPr>
    </w:pPr>
  </w:style>
  <w:style w:type="paragraph" w:customStyle="1" w:styleId="8nadpisboxK1">
    <w:name w:val="8_nadpis_box_K1"/>
    <w:basedOn w:val="Standard"/>
    <w:next w:val="Standard"/>
    <w:rsid w:val="00F4287E"/>
    <w:pPr>
      <w:keepNext/>
      <w:pBdr>
        <w:top w:val="single" w:sz="4" w:space="6" w:color="auto"/>
        <w:left w:val="single" w:sz="4" w:space="6" w:color="auto"/>
        <w:bottom w:val="single" w:sz="4" w:space="6" w:color="auto"/>
        <w:right w:val="single" w:sz="4" w:space="6" w:color="auto"/>
      </w:pBdr>
      <w:shd w:val="clear" w:color="auto" w:fill="F3D9E6"/>
      <w:suppressAutoHyphens/>
      <w:spacing w:before="240" w:after="60" w:line="240" w:lineRule="auto"/>
      <w:jc w:val="left"/>
    </w:pPr>
    <w:rPr>
      <w:b/>
      <w:sz w:val="21"/>
      <w:szCs w:val="22"/>
    </w:rPr>
  </w:style>
  <w:style w:type="paragraph" w:customStyle="1" w:styleId="Nadpis1a">
    <w:name w:val="Nadpis 1a"/>
    <w:basedOn w:val="berschrift1"/>
    <w:rsid w:val="00F4287E"/>
    <w:pPr>
      <w:spacing w:before="0" w:after="180"/>
    </w:pPr>
    <w:rPr>
      <w:rFonts w:eastAsia="Times New Roman"/>
      <w:spacing w:val="20"/>
      <w:kern w:val="16"/>
      <w:sz w:val="24"/>
      <w:lang w:eastAsia="cs-CZ"/>
    </w:rPr>
  </w:style>
  <w:style w:type="paragraph" w:customStyle="1" w:styleId="Normlntext">
    <w:name w:val="Normální text"/>
    <w:basedOn w:val="Standard"/>
    <w:rsid w:val="00F4287E"/>
    <w:pPr>
      <w:ind w:firstLine="284"/>
    </w:pPr>
    <w:rPr>
      <w:bCs/>
      <w:szCs w:val="22"/>
    </w:rPr>
  </w:style>
  <w:style w:type="paragraph" w:customStyle="1" w:styleId="Odrkya">
    <w:name w:val="Odrážky a)"/>
    <w:basedOn w:val="Odrky"/>
    <w:rsid w:val="00F4287E"/>
    <w:pPr>
      <w:numPr>
        <w:numId w:val="3"/>
      </w:numPr>
    </w:pPr>
    <w:rPr>
      <w:szCs w:val="22"/>
    </w:rPr>
  </w:style>
  <w:style w:type="paragraph" w:customStyle="1" w:styleId="8normlnboxK1">
    <w:name w:val="8_normální_box_K1"/>
    <w:basedOn w:val="Standard"/>
    <w:next w:val="Standard"/>
    <w:rsid w:val="00F4287E"/>
    <w:pPr>
      <w:pBdr>
        <w:top w:val="single" w:sz="4" w:space="6" w:color="auto"/>
        <w:left w:val="single" w:sz="4" w:space="6" w:color="auto"/>
        <w:bottom w:val="single" w:sz="4" w:space="6" w:color="auto"/>
        <w:right w:val="single" w:sz="4" w:space="6" w:color="auto"/>
      </w:pBdr>
      <w:shd w:val="clear" w:color="auto" w:fill="F3D9E6"/>
      <w:spacing w:line="240" w:lineRule="auto"/>
    </w:pPr>
    <w:rPr>
      <w:sz w:val="19"/>
      <w:szCs w:val="21"/>
    </w:rPr>
  </w:style>
  <w:style w:type="paragraph" w:customStyle="1" w:styleId="8normlntextboxK1">
    <w:name w:val="8_normální_text_box_K1"/>
    <w:basedOn w:val="8normlnboxK1"/>
    <w:rsid w:val="00F4287E"/>
    <w:pPr>
      <w:ind w:firstLine="284"/>
    </w:pPr>
  </w:style>
  <w:style w:type="paragraph" w:customStyle="1" w:styleId="8odrkyboxK1">
    <w:name w:val="8_odrážky_box_K1"/>
    <w:basedOn w:val="8normlnboxK1"/>
    <w:rsid w:val="00F4287E"/>
    <w:pPr>
      <w:keepLines/>
      <w:tabs>
        <w:tab w:val="left" w:pos="142"/>
        <w:tab w:val="left" w:pos="284"/>
      </w:tabs>
      <w:spacing w:before="20" w:after="0"/>
      <w:ind w:left="284" w:hanging="284"/>
    </w:pPr>
  </w:style>
  <w:style w:type="paragraph" w:customStyle="1" w:styleId="8zdrojboxK1">
    <w:name w:val="8_zdroj_box_K1"/>
    <w:basedOn w:val="8normlnboxK1"/>
    <w:next w:val="8normlntextboxK1"/>
    <w:rsid w:val="00F4287E"/>
    <w:pPr>
      <w:keepLines/>
      <w:suppressAutoHyphens/>
      <w:spacing w:after="20"/>
      <w:jc w:val="right"/>
    </w:pPr>
    <w:rPr>
      <w:szCs w:val="20"/>
    </w:rPr>
  </w:style>
  <w:style w:type="paragraph" w:customStyle="1" w:styleId="Literatura">
    <w:name w:val="Literatura"/>
    <w:basedOn w:val="Standard"/>
    <w:rsid w:val="00F4287E"/>
    <w:pPr>
      <w:keepLines/>
      <w:tabs>
        <w:tab w:val="left" w:pos="567"/>
      </w:tabs>
      <w:suppressAutoHyphens/>
      <w:ind w:left="567" w:hanging="567"/>
      <w:jc w:val="left"/>
    </w:pPr>
    <w:rPr>
      <w:rFonts w:eastAsia="Times New Roman"/>
      <w:szCs w:val="21"/>
      <w:lang w:eastAsia="cs-CZ"/>
    </w:rPr>
  </w:style>
  <w:style w:type="paragraph" w:customStyle="1" w:styleId="Literatura2">
    <w:name w:val="Literatura 2"/>
    <w:basedOn w:val="Literatura"/>
    <w:rsid w:val="00F4287E"/>
    <w:pPr>
      <w:keepLines w:val="0"/>
      <w:tabs>
        <w:tab w:val="clear" w:pos="567"/>
      </w:tabs>
      <w:spacing w:after="0" w:line="319" w:lineRule="auto"/>
      <w:ind w:left="0" w:firstLine="0"/>
    </w:pPr>
    <w:rPr>
      <w:sz w:val="20"/>
      <w:szCs w:val="20"/>
    </w:rPr>
  </w:style>
  <w:style w:type="paragraph" w:customStyle="1" w:styleId="Nadpis1b">
    <w:name w:val="Nadpis 1b"/>
    <w:basedOn w:val="Nadpis1a"/>
    <w:rsid w:val="00F4287E"/>
    <w:pPr>
      <w:spacing w:before="180" w:after="0"/>
      <w:outlineLvl w:val="9"/>
    </w:pPr>
    <w:rPr>
      <w:szCs w:val="28"/>
    </w:rPr>
  </w:style>
  <w:style w:type="paragraph" w:styleId="Titel">
    <w:name w:val="Title"/>
    <w:basedOn w:val="Standard"/>
    <w:qFormat/>
    <w:rsid w:val="00F4287E"/>
    <w:pPr>
      <w:spacing w:before="0" w:after="0" w:line="240" w:lineRule="auto"/>
      <w:ind w:firstLine="57"/>
      <w:jc w:val="center"/>
    </w:pPr>
    <w:rPr>
      <w:rFonts w:ascii="Bookman Old Style" w:eastAsia="Times New Roman" w:hAnsi="Bookman Old Style"/>
      <w:b/>
      <w:sz w:val="24"/>
      <w:szCs w:val="20"/>
      <w:lang w:eastAsia="cs-CZ"/>
    </w:rPr>
  </w:style>
  <w:style w:type="paragraph" w:customStyle="1" w:styleId="Normlnrovnice">
    <w:name w:val="Normální rovnice"/>
    <w:basedOn w:val="Standard"/>
    <w:rsid w:val="00F4287E"/>
    <w:pPr>
      <w:tabs>
        <w:tab w:val="left" w:pos="1134"/>
      </w:tabs>
      <w:suppressAutoHyphens/>
      <w:spacing w:before="60" w:after="60"/>
    </w:pPr>
    <w:rPr>
      <w:rFonts w:eastAsia="Times New Roman"/>
      <w:i/>
      <w:spacing w:val="-3"/>
      <w:sz w:val="26"/>
      <w:szCs w:val="24"/>
      <w:lang w:eastAsia="cs-CZ"/>
    </w:rPr>
  </w:style>
  <w:style w:type="paragraph" w:customStyle="1" w:styleId="NormlnTabulkatext">
    <w:name w:val="Normální Tabulka text"/>
    <w:basedOn w:val="Standard"/>
    <w:rsid w:val="00F4287E"/>
    <w:pPr>
      <w:suppressAutoHyphens/>
      <w:spacing w:before="20" w:after="20" w:line="240" w:lineRule="auto"/>
      <w:jc w:val="left"/>
    </w:pPr>
    <w:rPr>
      <w:rFonts w:cs="Bookman Old Style"/>
      <w:sz w:val="19"/>
      <w:szCs w:val="18"/>
    </w:rPr>
  </w:style>
  <w:style w:type="paragraph" w:customStyle="1" w:styleId="NormlnTabulkatextslovn">
    <w:name w:val="Normální Tabulka text číslování"/>
    <w:basedOn w:val="NormlnTabulkatext"/>
    <w:rsid w:val="00F4287E"/>
    <w:pPr>
      <w:tabs>
        <w:tab w:val="left" w:pos="142"/>
        <w:tab w:val="left" w:pos="284"/>
      </w:tabs>
      <w:ind w:left="284" w:hanging="284"/>
    </w:pPr>
    <w:rPr>
      <w:rFonts w:cs="Times New Roman"/>
      <w:szCs w:val="19"/>
    </w:rPr>
  </w:style>
  <w:style w:type="paragraph" w:customStyle="1" w:styleId="Normlntextzatabulkou">
    <w:name w:val="Normální text za tabulkou"/>
    <w:basedOn w:val="Standard"/>
    <w:rsid w:val="00704FF5"/>
    <w:pPr>
      <w:spacing w:before="260" w:after="60"/>
      <w:ind w:firstLine="284"/>
    </w:pPr>
    <w:rPr>
      <w:rFonts w:eastAsia="Times New Roman"/>
      <w:szCs w:val="26"/>
      <w:lang w:eastAsia="cs-CZ"/>
    </w:rPr>
  </w:style>
  <w:style w:type="paragraph" w:customStyle="1" w:styleId="Normlntextodsazen">
    <w:name w:val="Normální_text_odsazený"/>
    <w:basedOn w:val="Normlntext"/>
    <w:next w:val="Normlntext"/>
    <w:rsid w:val="00F4287E"/>
    <w:pPr>
      <w:spacing w:before="200"/>
    </w:pPr>
  </w:style>
  <w:style w:type="paragraph" w:customStyle="1" w:styleId="Obrzek">
    <w:name w:val="Obrázek"/>
    <w:basedOn w:val="Standard"/>
    <w:next w:val="Standard"/>
    <w:rsid w:val="00F4287E"/>
    <w:pPr>
      <w:keepNext/>
      <w:suppressAutoHyphens/>
      <w:spacing w:before="260" w:after="0"/>
      <w:jc w:val="center"/>
    </w:pPr>
    <w:rPr>
      <w:rFonts w:eastAsia="Times New Roman"/>
      <w:sz w:val="26"/>
      <w:szCs w:val="26"/>
      <w:lang w:eastAsia="cs-CZ"/>
    </w:rPr>
  </w:style>
  <w:style w:type="paragraph" w:customStyle="1" w:styleId="Odrky1">
    <w:name w:val="Odrážky 1"/>
    <w:basedOn w:val="Standard"/>
    <w:rsid w:val="00F4287E"/>
    <w:pPr>
      <w:spacing w:before="0" w:after="60" w:line="319" w:lineRule="auto"/>
      <w:jc w:val="left"/>
    </w:pPr>
    <w:rPr>
      <w:rFonts w:eastAsia="Times New Roman"/>
      <w:sz w:val="23"/>
    </w:rPr>
  </w:style>
  <w:style w:type="paragraph" w:customStyle="1" w:styleId="Odrky2">
    <w:name w:val="Odrážky 2"/>
    <w:basedOn w:val="Odrky"/>
    <w:rsid w:val="00F4287E"/>
    <w:pPr>
      <w:numPr>
        <w:numId w:val="0"/>
      </w:numPr>
      <w:tabs>
        <w:tab w:val="left" w:pos="851"/>
      </w:tabs>
    </w:pPr>
    <w:rPr>
      <w:bCs/>
    </w:rPr>
  </w:style>
  <w:style w:type="paragraph" w:customStyle="1" w:styleId="Odrky2a">
    <w:name w:val="Odrážky 2 a)"/>
    <w:basedOn w:val="Standard"/>
    <w:rsid w:val="00F4287E"/>
    <w:pPr>
      <w:tabs>
        <w:tab w:val="left" w:pos="851"/>
      </w:tabs>
      <w:ind w:left="851" w:hanging="284"/>
    </w:pPr>
  </w:style>
  <w:style w:type="paragraph" w:customStyle="1" w:styleId="Odrkyposlovn">
    <w:name w:val="Odrážky po číslování"/>
    <w:basedOn w:val="Odrky"/>
    <w:rsid w:val="00F4287E"/>
    <w:pPr>
      <w:numPr>
        <w:numId w:val="5"/>
      </w:numPr>
      <w:tabs>
        <w:tab w:val="clear" w:pos="567"/>
      </w:tabs>
      <w:suppressAutoHyphens/>
      <w:spacing w:before="0"/>
      <w:jc w:val="left"/>
    </w:pPr>
    <w:rPr>
      <w:rFonts w:eastAsia="Times New Roman"/>
      <w:sz w:val="26"/>
      <w:szCs w:val="26"/>
      <w:lang w:eastAsia="cs-CZ"/>
    </w:rPr>
  </w:style>
  <w:style w:type="paragraph" w:customStyle="1" w:styleId="Texttabulky">
    <w:name w:val="Text tabulky"/>
    <w:basedOn w:val="Standard"/>
    <w:rsid w:val="00F4287E"/>
    <w:pPr>
      <w:numPr>
        <w:numId w:val="6"/>
      </w:numPr>
      <w:suppressAutoHyphens/>
      <w:spacing w:after="20" w:line="240" w:lineRule="auto"/>
      <w:jc w:val="left"/>
    </w:pPr>
    <w:rPr>
      <w:sz w:val="23"/>
      <w:szCs w:val="24"/>
      <w:lang w:eastAsia="cs-CZ"/>
    </w:rPr>
  </w:style>
  <w:style w:type="paragraph" w:styleId="Beschriftung">
    <w:name w:val="caption"/>
    <w:basedOn w:val="Standard"/>
    <w:next w:val="Standard"/>
    <w:qFormat/>
    <w:rsid w:val="00F4287E"/>
    <w:rPr>
      <w:b/>
      <w:bCs/>
      <w:sz w:val="20"/>
      <w:szCs w:val="20"/>
    </w:rPr>
  </w:style>
  <w:style w:type="paragraph" w:styleId="Textkrper2">
    <w:name w:val="Body Text 2"/>
    <w:basedOn w:val="Standard"/>
    <w:rsid w:val="00F4287E"/>
    <w:pPr>
      <w:spacing w:after="0" w:line="360" w:lineRule="auto"/>
    </w:pPr>
    <w:rPr>
      <w:rFonts w:eastAsia="Times New Roman"/>
      <w:b/>
      <w:bCs/>
      <w:sz w:val="24"/>
      <w:szCs w:val="24"/>
      <w:lang w:eastAsia="cs-CZ"/>
    </w:rPr>
  </w:style>
  <w:style w:type="paragraph" w:styleId="Textkrper-Zeileneinzug">
    <w:name w:val="Body Text Indent"/>
    <w:basedOn w:val="Standard"/>
    <w:rsid w:val="00F4287E"/>
    <w:pPr>
      <w:spacing w:before="0" w:after="0" w:line="240" w:lineRule="auto"/>
      <w:ind w:left="1701" w:hanging="1701"/>
      <w:jc w:val="left"/>
    </w:pPr>
    <w:rPr>
      <w:rFonts w:ascii="Franklin Gothic Demi" w:eastAsia="Times New Roman" w:hAnsi="Franklin Gothic Demi"/>
      <w:color w:val="000080"/>
      <w:sz w:val="28"/>
      <w:szCs w:val="24"/>
      <w:lang w:eastAsia="cs-CZ"/>
    </w:rPr>
  </w:style>
  <w:style w:type="paragraph" w:customStyle="1" w:styleId="Zdroj1">
    <w:name w:val="Zdroj 1"/>
    <w:basedOn w:val="Standard"/>
    <w:rsid w:val="00F4287E"/>
    <w:pPr>
      <w:pBdr>
        <w:top w:val="single" w:sz="4" w:space="3" w:color="auto"/>
        <w:left w:val="single" w:sz="4" w:space="3" w:color="auto"/>
        <w:bottom w:val="single" w:sz="4" w:space="3" w:color="auto"/>
        <w:right w:val="single" w:sz="4" w:space="3" w:color="auto"/>
      </w:pBdr>
      <w:shd w:val="clear" w:color="auto" w:fill="EBEBF9"/>
      <w:spacing w:before="20" w:after="60" w:line="240" w:lineRule="auto"/>
      <w:jc w:val="center"/>
    </w:pPr>
    <w:rPr>
      <w:rFonts w:eastAsia="Times New Roman"/>
      <w:i/>
      <w:sz w:val="19"/>
      <w:szCs w:val="20"/>
      <w:lang w:eastAsia="cs-CZ"/>
    </w:rPr>
  </w:style>
  <w:style w:type="paragraph" w:customStyle="1" w:styleId="Zdroj2">
    <w:name w:val="Zdroj 2"/>
    <w:basedOn w:val="Standard"/>
    <w:rsid w:val="00F4287E"/>
    <w:pPr>
      <w:pBdr>
        <w:top w:val="single" w:sz="4" w:space="6" w:color="auto"/>
        <w:left w:val="single" w:sz="4" w:space="6" w:color="auto"/>
        <w:bottom w:val="single" w:sz="4" w:space="6" w:color="auto"/>
        <w:right w:val="single" w:sz="4" w:space="6" w:color="auto"/>
      </w:pBdr>
      <w:shd w:val="clear" w:color="auto" w:fill="E6E6E6"/>
      <w:spacing w:after="0" w:line="240" w:lineRule="auto"/>
      <w:jc w:val="right"/>
    </w:pPr>
    <w:rPr>
      <w:rFonts w:eastAsia="Times New Roman"/>
      <w:sz w:val="20"/>
      <w:szCs w:val="20"/>
      <w:lang w:eastAsia="cs-CZ"/>
    </w:rPr>
  </w:style>
  <w:style w:type="paragraph" w:customStyle="1" w:styleId="Zdroj3">
    <w:name w:val="Zdroj 3"/>
    <w:basedOn w:val="Zdroj1"/>
    <w:rsid w:val="00F4287E"/>
    <w:pPr>
      <w:pBdr>
        <w:top w:val="none" w:sz="0" w:space="0" w:color="auto"/>
        <w:left w:val="none" w:sz="0" w:space="0" w:color="auto"/>
        <w:bottom w:val="none" w:sz="0" w:space="0" w:color="auto"/>
        <w:right w:val="none" w:sz="0" w:space="0" w:color="auto"/>
      </w:pBdr>
      <w:shd w:val="clear" w:color="auto" w:fill="auto"/>
      <w:suppressAutoHyphens/>
      <w:jc w:val="right"/>
    </w:pPr>
    <w:rPr>
      <w:sz w:val="21"/>
    </w:rPr>
  </w:style>
  <w:style w:type="paragraph" w:customStyle="1" w:styleId="Title1">
    <w:name w:val="Title1"/>
    <w:basedOn w:val="berschrift1"/>
    <w:rsid w:val="00ED6BA9"/>
    <w:pPr>
      <w:tabs>
        <w:tab w:val="clear" w:pos="624"/>
      </w:tabs>
      <w:suppressAutoHyphens w:val="0"/>
      <w:spacing w:before="0" w:after="0" w:line="288" w:lineRule="auto"/>
      <w:jc w:val="center"/>
    </w:pPr>
    <w:rPr>
      <w:rFonts w:eastAsia="Times New Roman" w:cs="Times New Roman"/>
      <w:smallCaps w:val="0"/>
      <w:color w:val="auto"/>
      <w:kern w:val="0"/>
      <w:sz w:val="40"/>
      <w:szCs w:val="28"/>
      <w:lang w:val="en-GB" w:eastAsia="de-DE"/>
    </w:rPr>
  </w:style>
  <w:style w:type="paragraph" w:customStyle="1" w:styleId="Char">
    <w:name w:val="Char"/>
    <w:basedOn w:val="Standard"/>
    <w:rsid w:val="00D17FBB"/>
    <w:pPr>
      <w:spacing w:before="0" w:after="160" w:line="240" w:lineRule="exact"/>
      <w:jc w:val="left"/>
    </w:pPr>
    <w:rPr>
      <w:rFonts w:ascii="Tahoma" w:eastAsia="Times New Roman" w:hAnsi="Tahoma"/>
      <w:sz w:val="20"/>
      <w:szCs w:val="20"/>
      <w:lang w:val="en-US"/>
    </w:rPr>
  </w:style>
  <w:style w:type="paragraph" w:styleId="StandardWeb">
    <w:name w:val="Normal (Web)"/>
    <w:aliases w:val="Normální (síť WWW)"/>
    <w:basedOn w:val="Standard"/>
    <w:rsid w:val="00D17FBB"/>
    <w:pPr>
      <w:spacing w:before="0" w:after="0" w:line="240" w:lineRule="auto"/>
      <w:jc w:val="left"/>
    </w:pPr>
    <w:rPr>
      <w:rFonts w:ascii="Times New Roman" w:eastAsia="Times New Roman" w:hAnsi="Times New Roman"/>
      <w:sz w:val="24"/>
      <w:szCs w:val="24"/>
      <w:lang w:eastAsia="cs-CZ"/>
    </w:rPr>
  </w:style>
  <w:style w:type="paragraph" w:styleId="Inhaltsverzeichnisberschrift">
    <w:name w:val="TOC Heading"/>
    <w:basedOn w:val="berschrift1"/>
    <w:next w:val="Standard"/>
    <w:uiPriority w:val="39"/>
    <w:semiHidden/>
    <w:unhideWhenUsed/>
    <w:qFormat/>
    <w:rsid w:val="00154B27"/>
    <w:pPr>
      <w:keepLines/>
      <w:tabs>
        <w:tab w:val="clear" w:pos="624"/>
      </w:tabs>
      <w:suppressAutoHyphens w:val="0"/>
      <w:spacing w:after="0" w:line="276" w:lineRule="auto"/>
      <w:outlineLvl w:val="9"/>
    </w:pPr>
    <w:rPr>
      <w:rFonts w:ascii="Cambria" w:eastAsia="Times New Roman" w:hAnsi="Cambria" w:cs="Times New Roman"/>
      <w:smallCaps w:val="0"/>
      <w:color w:val="365F91"/>
      <w:kern w:val="0"/>
      <w:sz w:val="28"/>
      <w:szCs w:val="28"/>
    </w:rPr>
  </w:style>
  <w:style w:type="paragraph" w:styleId="Sprechblasentext">
    <w:name w:val="Balloon Text"/>
    <w:basedOn w:val="Standard"/>
    <w:link w:val="SprechblasentextZchn"/>
    <w:rsid w:val="00B72030"/>
    <w:pPr>
      <w:spacing w:before="0" w:after="0" w:line="240" w:lineRule="auto"/>
    </w:pPr>
    <w:rPr>
      <w:rFonts w:ascii="Tahoma" w:hAnsi="Tahoma"/>
      <w:sz w:val="16"/>
      <w:szCs w:val="16"/>
    </w:rPr>
  </w:style>
  <w:style w:type="character" w:customStyle="1" w:styleId="SprechblasentextZchn">
    <w:name w:val="Sprechblasentext Zchn"/>
    <w:link w:val="Sprechblasentext"/>
    <w:rsid w:val="00B72030"/>
    <w:rPr>
      <w:rFonts w:ascii="Tahoma" w:eastAsia="Batang" w:hAnsi="Tahoma" w:cs="Tahoma"/>
      <w:sz w:val="16"/>
      <w:szCs w:val="16"/>
      <w:lang w:eastAsia="en-US"/>
    </w:rPr>
  </w:style>
  <w:style w:type="character" w:styleId="BesuchterHyperlink">
    <w:name w:val="FollowedHyperlink"/>
    <w:rsid w:val="0092595C"/>
    <w:rPr>
      <w:color w:val="800080"/>
      <w:u w:val="single"/>
    </w:rPr>
  </w:style>
  <w:style w:type="character" w:styleId="Kommentarzeichen">
    <w:name w:val="annotation reference"/>
    <w:rsid w:val="00D54ACA"/>
    <w:rPr>
      <w:sz w:val="16"/>
      <w:szCs w:val="16"/>
    </w:rPr>
  </w:style>
  <w:style w:type="paragraph" w:styleId="Kommentartext">
    <w:name w:val="annotation text"/>
    <w:basedOn w:val="Standard"/>
    <w:link w:val="KommentartextZchn"/>
    <w:rsid w:val="00D54ACA"/>
    <w:rPr>
      <w:sz w:val="20"/>
      <w:szCs w:val="20"/>
    </w:rPr>
  </w:style>
  <w:style w:type="character" w:customStyle="1" w:styleId="KommentartextZchn">
    <w:name w:val="Kommentartext Zchn"/>
    <w:link w:val="Kommentartext"/>
    <w:rsid w:val="00D54ACA"/>
    <w:rPr>
      <w:rFonts w:ascii="Arial" w:eastAsia="Batang" w:hAnsi="Arial"/>
      <w:lang w:eastAsia="en-US"/>
    </w:rPr>
  </w:style>
  <w:style w:type="paragraph" w:styleId="Kommentarthema">
    <w:name w:val="annotation subject"/>
    <w:basedOn w:val="Kommentartext"/>
    <w:next w:val="Kommentartext"/>
    <w:link w:val="KommentarthemaZchn"/>
    <w:rsid w:val="00D54ACA"/>
    <w:rPr>
      <w:b/>
      <w:bCs/>
    </w:rPr>
  </w:style>
  <w:style w:type="character" w:customStyle="1" w:styleId="KommentarthemaZchn">
    <w:name w:val="Kommentarthema Zchn"/>
    <w:link w:val="Kommentarthema"/>
    <w:rsid w:val="00D54ACA"/>
    <w:rPr>
      <w:rFonts w:ascii="Arial" w:eastAsia="Batang" w:hAnsi="Arial"/>
      <w:b/>
      <w:bCs/>
      <w:lang w:eastAsia="en-US"/>
    </w:rPr>
  </w:style>
  <w:style w:type="character" w:customStyle="1" w:styleId="berschrift1Zchn">
    <w:name w:val="Überschrift 1 Zchn"/>
    <w:basedOn w:val="Absatz-Standardschriftart"/>
    <w:link w:val="berschrift1"/>
    <w:uiPriority w:val="9"/>
    <w:rsid w:val="00C84822"/>
    <w:rPr>
      <w:rFonts w:ascii="Arial" w:eastAsia="Batang" w:hAnsi="Arial" w:cs="Arial"/>
      <w:b/>
      <w:bCs/>
      <w:smallCaps/>
      <w:color w:val="333399"/>
      <w:kern w:val="32"/>
      <w:sz w:val="27"/>
      <w:szCs w:val="26"/>
      <w:lang w:val="cs-CZ" w:eastAsia="en-US"/>
    </w:rPr>
  </w:style>
  <w:style w:type="character" w:styleId="Fett">
    <w:name w:val="Strong"/>
    <w:basedOn w:val="Absatz-Standardschriftart"/>
    <w:qFormat/>
    <w:rsid w:val="00C84822"/>
    <w:rPr>
      <w:b/>
      <w:bCs/>
    </w:rPr>
  </w:style>
  <w:style w:type="paragraph" w:styleId="Literaturverzeichnis">
    <w:name w:val="Bibliography"/>
    <w:basedOn w:val="Standard"/>
    <w:next w:val="Standard"/>
    <w:uiPriority w:val="37"/>
    <w:unhideWhenUsed/>
    <w:rsid w:val="00C84822"/>
  </w:style>
  <w:style w:type="paragraph" w:styleId="Listenabsatz">
    <w:name w:val="List Paragraph"/>
    <w:basedOn w:val="Standard"/>
    <w:uiPriority w:val="34"/>
    <w:qFormat/>
    <w:rsid w:val="00E51FEF"/>
    <w:pPr>
      <w:ind w:left="720"/>
      <w:contextualSpacing/>
    </w:pPr>
  </w:style>
  <w:style w:type="character" w:styleId="Platzhaltertext">
    <w:name w:val="Placeholder Text"/>
    <w:basedOn w:val="Absatz-Standardschriftart"/>
    <w:uiPriority w:val="99"/>
    <w:semiHidden/>
    <w:rsid w:val="000D1E43"/>
    <w:rPr>
      <w:color w:val="808080"/>
    </w:rPr>
  </w:style>
  <w:style w:type="paragraph" w:styleId="Funotentext">
    <w:name w:val="footnote text"/>
    <w:basedOn w:val="Standard"/>
    <w:link w:val="FunotentextZchn"/>
    <w:rsid w:val="00F72C7D"/>
    <w:pPr>
      <w:spacing w:before="0" w:after="0" w:line="240" w:lineRule="auto"/>
    </w:pPr>
    <w:rPr>
      <w:sz w:val="20"/>
      <w:szCs w:val="20"/>
    </w:rPr>
  </w:style>
  <w:style w:type="character" w:customStyle="1" w:styleId="FunotentextZchn">
    <w:name w:val="Fußnotentext Zchn"/>
    <w:basedOn w:val="Absatz-Standardschriftart"/>
    <w:link w:val="Funotentext"/>
    <w:rsid w:val="00F72C7D"/>
    <w:rPr>
      <w:rFonts w:ascii="Arial" w:eastAsia="Batang" w:hAnsi="Arial"/>
      <w:lang w:val="cs-CZ" w:eastAsia="en-US"/>
    </w:rPr>
  </w:style>
  <w:style w:type="character" w:styleId="Funotenzeichen">
    <w:name w:val="footnote reference"/>
    <w:basedOn w:val="Absatz-Standardschriftart"/>
    <w:rsid w:val="00F72C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755073">
      <w:bodyDiv w:val="1"/>
      <w:marLeft w:val="0"/>
      <w:marRight w:val="0"/>
      <w:marTop w:val="0"/>
      <w:marBottom w:val="0"/>
      <w:divBdr>
        <w:top w:val="none" w:sz="0" w:space="0" w:color="auto"/>
        <w:left w:val="none" w:sz="0" w:space="0" w:color="auto"/>
        <w:bottom w:val="none" w:sz="0" w:space="0" w:color="auto"/>
        <w:right w:val="none" w:sz="0" w:space="0" w:color="auto"/>
      </w:divBdr>
    </w:div>
    <w:div w:id="527911157">
      <w:bodyDiv w:val="1"/>
      <w:marLeft w:val="0"/>
      <w:marRight w:val="0"/>
      <w:marTop w:val="0"/>
      <w:marBottom w:val="0"/>
      <w:divBdr>
        <w:top w:val="none" w:sz="0" w:space="0" w:color="auto"/>
        <w:left w:val="none" w:sz="0" w:space="0" w:color="auto"/>
        <w:bottom w:val="none" w:sz="0" w:space="0" w:color="auto"/>
        <w:right w:val="none" w:sz="0" w:space="0" w:color="auto"/>
      </w:divBdr>
    </w:div>
    <w:div w:id="1003044402">
      <w:bodyDiv w:val="1"/>
      <w:marLeft w:val="0"/>
      <w:marRight w:val="0"/>
      <w:marTop w:val="0"/>
      <w:marBottom w:val="0"/>
      <w:divBdr>
        <w:top w:val="none" w:sz="0" w:space="0" w:color="auto"/>
        <w:left w:val="none" w:sz="0" w:space="0" w:color="auto"/>
        <w:bottom w:val="none" w:sz="0" w:space="0" w:color="auto"/>
        <w:right w:val="none" w:sz="0" w:space="0" w:color="auto"/>
      </w:divBdr>
    </w:div>
    <w:div w:id="1122115885">
      <w:bodyDiv w:val="1"/>
      <w:marLeft w:val="0"/>
      <w:marRight w:val="0"/>
      <w:marTop w:val="0"/>
      <w:marBottom w:val="0"/>
      <w:divBdr>
        <w:top w:val="none" w:sz="0" w:space="0" w:color="auto"/>
        <w:left w:val="none" w:sz="0" w:space="0" w:color="auto"/>
        <w:bottom w:val="none" w:sz="0" w:space="0" w:color="auto"/>
        <w:right w:val="none" w:sz="0" w:space="0" w:color="auto"/>
      </w:divBdr>
    </w:div>
    <w:div w:id="1141925169">
      <w:bodyDiv w:val="1"/>
      <w:marLeft w:val="0"/>
      <w:marRight w:val="0"/>
      <w:marTop w:val="0"/>
      <w:marBottom w:val="0"/>
      <w:divBdr>
        <w:top w:val="none" w:sz="0" w:space="0" w:color="auto"/>
        <w:left w:val="none" w:sz="0" w:space="0" w:color="auto"/>
        <w:bottom w:val="none" w:sz="0" w:space="0" w:color="auto"/>
        <w:right w:val="none" w:sz="0" w:space="0" w:color="auto"/>
      </w:divBdr>
    </w:div>
    <w:div w:id="1353989827">
      <w:bodyDiv w:val="1"/>
      <w:marLeft w:val="0"/>
      <w:marRight w:val="0"/>
      <w:marTop w:val="0"/>
      <w:marBottom w:val="0"/>
      <w:divBdr>
        <w:top w:val="none" w:sz="0" w:space="0" w:color="auto"/>
        <w:left w:val="none" w:sz="0" w:space="0" w:color="auto"/>
        <w:bottom w:val="none" w:sz="0" w:space="0" w:color="auto"/>
        <w:right w:val="none" w:sz="0" w:space="0" w:color="auto"/>
      </w:divBdr>
    </w:div>
    <w:div w:id="1435204143">
      <w:bodyDiv w:val="1"/>
      <w:marLeft w:val="0"/>
      <w:marRight w:val="0"/>
      <w:marTop w:val="0"/>
      <w:marBottom w:val="0"/>
      <w:divBdr>
        <w:top w:val="none" w:sz="0" w:space="0" w:color="auto"/>
        <w:left w:val="none" w:sz="0" w:space="0" w:color="auto"/>
        <w:bottom w:val="none" w:sz="0" w:space="0" w:color="auto"/>
        <w:right w:val="none" w:sz="0" w:space="0" w:color="auto"/>
      </w:divBdr>
    </w:div>
    <w:div w:id="1575354463">
      <w:bodyDiv w:val="1"/>
      <w:marLeft w:val="0"/>
      <w:marRight w:val="0"/>
      <w:marTop w:val="0"/>
      <w:marBottom w:val="0"/>
      <w:divBdr>
        <w:top w:val="none" w:sz="0" w:space="0" w:color="auto"/>
        <w:left w:val="none" w:sz="0" w:space="0" w:color="auto"/>
        <w:bottom w:val="none" w:sz="0" w:space="0" w:color="auto"/>
        <w:right w:val="none" w:sz="0" w:space="0" w:color="auto"/>
      </w:divBdr>
    </w:div>
    <w:div w:id="1738238808">
      <w:bodyDiv w:val="1"/>
      <w:marLeft w:val="0"/>
      <w:marRight w:val="0"/>
      <w:marTop w:val="0"/>
      <w:marBottom w:val="0"/>
      <w:divBdr>
        <w:top w:val="none" w:sz="0" w:space="0" w:color="auto"/>
        <w:left w:val="none" w:sz="0" w:space="0" w:color="auto"/>
        <w:bottom w:val="none" w:sz="0" w:space="0" w:color="auto"/>
        <w:right w:val="none" w:sz="0" w:space="0" w:color="auto"/>
      </w:divBdr>
    </w:div>
    <w:div w:id="1920098941">
      <w:bodyDiv w:val="1"/>
      <w:marLeft w:val="0"/>
      <w:marRight w:val="0"/>
      <w:marTop w:val="0"/>
      <w:marBottom w:val="0"/>
      <w:divBdr>
        <w:top w:val="none" w:sz="0" w:space="0" w:color="auto"/>
        <w:left w:val="none" w:sz="0" w:space="0" w:color="auto"/>
        <w:bottom w:val="none" w:sz="0" w:space="0" w:color="auto"/>
        <w:right w:val="none" w:sz="0" w:space="0" w:color="auto"/>
      </w:divBdr>
    </w:div>
    <w:div w:id="198392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ablony%20MS%20Office\Word\ZAKLADNI%20SABLONA%20SI.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Aba13</b:Tag>
    <b:SourceType>JournalArticle</b:SourceType>
    <b:Guid>{2AD68C55-9BF8-4A1C-92B9-D8DE266949BB}</b:Guid>
    <b:Author>
      <b:Author>
        <b:NameList>
          <b:Person>
            <b:Last>Ndiaye</b:Last>
            <b:First>Ababacar</b:First>
          </b:Person>
          <b:Person>
            <b:Last>Charki</b:Last>
            <b:First>Abderafi</b:First>
          </b:Person>
          <b:Person>
            <b:Last>Kobi</b:Last>
            <b:First>Abdessamad</b:First>
          </b:Person>
          <b:Person>
            <b:Last>Kebe</b:Last>
            <b:First>Cheikh</b:First>
            <b:Middle>M.F.</b:Middle>
          </b:Person>
          <b:Person>
            <b:Last>Ndiaye</b:Last>
            <b:First>Pape</b:First>
            <b:Middle>A.</b:Middle>
          </b:Person>
          <b:Person>
            <b:Last>Sambou</b:Last>
            <b:First>Vincent</b:First>
          </b:Person>
        </b:NameList>
      </b:Author>
    </b:Author>
    <b:Title>Degradations of silicon photovoltaic modules: A literature review</b:Title>
    <b:JournalName>Solar Energy</b:JournalName>
    <b:Year>2013</b:Year>
    <b:Pages>140-151</b:Pages>
    <b:Issue>96</b:Issue>
    <b:RefOrder>9</b:RefOrder>
  </b:Source>
  <b:Source>
    <b:Tag>BMF14</b:Tag>
    <b:SourceType>DocumentFromInternetSite</b:SourceType>
    <b:Guid>{C56C59D1-D7DC-4868-ACAC-CF972B48B81C}</b:Guid>
    <b:Author>
      <b:Author>
        <b:Corporate>Bundesministerium für Finanzen</b:Corporate>
      </b:Author>
    </b:Author>
    <b:Title>Steuerliche Beurteilung von Photovoltaikanlagen</b:Title>
    <b:Year>2014</b:Year>
    <b:URL>https://findok.bmf.gv.at/findok?execution=e100000s1&amp;segmentId=c8819641-3369-4808-8076-42c7d6f47d95</b:URL>
    <b:YearAccessed>2015</b:YearAccessed>
    <b:MonthAccessed>June</b:MonthAccessed>
    <b:DayAccessed>20</b:DayAccessed>
    <b:RefOrder>4</b:RefOrder>
  </b:Source>
  <b:Source>
    <b:Tag>Inn14</b:Tag>
    <b:SourceType>JournalArticle</b:SourceType>
    <b:Guid>{18EAC0A7-7AE4-4C81-9C75-71D907708155}</b:Guid>
    <b:Title>Innovative Energietechnologien in Österreich</b:Title>
    <b:Year>2015</b:Year>
    <b:Publisher>Bundesministerium für Verkehr, Innovation und Technologie</b:Publisher>
    <b:Pages>106</b:Pages>
    <b:ShortTitle>Marktstatistik 2014</b:ShortTitle>
    <b:Author>
      <b:Author>
        <b:NameList>
          <b:Person>
            <b:Last>Biermayr</b:Last>
            <b:First>Peter</b:First>
          </b:Person>
          <b:Person>
            <b:Last>Eberl</b:Last>
            <b:First>Manuela</b:First>
          </b:Person>
          <b:Person>
            <b:Last>Enigl</b:Last>
            <b:First>Monika</b:First>
          </b:Person>
          <b:Person>
            <b:Last>Fechner</b:Last>
            <b:First>Hubert</b:First>
          </b:Person>
          <b:Person>
            <b:Last>Kristöfel</b:Last>
            <b:First>Christa</b:First>
          </b:Person>
        </b:NameList>
      </b:Author>
    </b:Author>
    <b:City>Wien</b:City>
    <b:PeriodicalTitle>Berichte aus Energie- und Umweltforschung</b:PeriodicalTitle>
    <b:JournalName>Berichte aus Energie- und Umweltforschung</b:JournalName>
    <b:RefOrder>1</b:RefOrder>
  </b:Source>
  <b:Source>
    <b:Tag>Joe14</b:Tag>
    <b:SourceType>JournalArticle</b:SourceType>
    <b:Guid>{82D1E8F1-D32D-4BB5-A14E-8710D71E6207}</b:Guid>
    <b:Author>
      <b:Author>
        <b:NameList>
          <b:Person>
            <b:Last>Hoppmann</b:Last>
            <b:First>Joern</b:First>
          </b:Person>
          <b:Person>
            <b:Last>Volland</b:Last>
            <b:First>Jonas</b:First>
          </b:Person>
          <b:Person>
            <b:Last>Schmidt</b:Last>
            <b:First>Tobias</b:First>
            <b:Middle>S.</b:Middle>
          </b:Person>
          <b:Person>
            <b:Last>Hoffmann</b:Last>
            <b:First>Volker</b:First>
            <b:Middle>H.</b:Middle>
          </b:Person>
        </b:NameList>
      </b:Author>
    </b:Author>
    <b:Title>The Economic Viability of Battery Storage for Residential Solar Photovoltaic Systems – A Review and a Simulation Model</b:Title>
    <b:JournalName>Renewable and Sustainable Energy Reviews</b:JournalName>
    <b:Year>2014</b:Year>
    <b:Pages>1101–1118</b:Pages>
    <b:Issue>39</b:Issue>
    <b:RefOrder>7</b:RefOrder>
  </b:Source>
  <b:Source>
    <b:Tag>MŠú05</b:Tag>
    <b:SourceType>JournalArticle</b:SourceType>
    <b:Guid>{F93A6511-9507-4E0B-902D-5B014C457F14}</b:Guid>
    <b:Author>
      <b:Author>
        <b:NameList>
          <b:Person>
            <b:Last>Šúri</b:Last>
            <b:First>M.</b:First>
          </b:Person>
          <b:Person>
            <b:Last>Huld</b:Last>
            <b:First>T.A.</b:First>
          </b:Person>
          <b:Person>
            <b:Last>Dunlop</b:Last>
            <b:First>E.D.</b:First>
          </b:Person>
        </b:NameList>
      </b:Author>
    </b:Author>
    <b:Title>PVGIS: a web-based solar radiation database for the calculation of PV potential in Europe</b:Title>
    <b:Year>2005</b:Year>
    <b:JournalName>International Journal of Sustainable Energy</b:JournalName>
    <b:Pages>55-67</b:Pages>
    <b:Issue>2</b:Issue>
    <b:Volume>24</b:Volume>
    <b:RefOrder>8</b:RefOrder>
  </b:Source>
  <b:Source>
    <b:Tag>PRE13</b:Tag>
    <b:SourceType>Report</b:SourceType>
    <b:Guid>{00842CBF-D3FA-4C92-B4EA-1D6C8F8206C2}</b:Guid>
    <b:Author>
      <b:Author>
        <b:Corporate>Press Release No 75/13</b:Corporate>
      </b:Author>
    </b:Author>
    <b:Title>Finanzamt Freistadt Rohrbach Urfahr v Unabhängiger Finanzsenat</b:Title>
    <b:Year>2013</b:Year>
    <b:Publisher>CURIA</b:Publisher>
    <b:City>Luxembourg,</b:City>
    <b:RefOrder>3</b:RefOrder>
  </b:Source>
  <b:Source>
    <b:Tag>SAR13</b:Tag>
    <b:SourceType>JournalArticle</b:SourceType>
    <b:Guid>{C94BA7C6-DCEA-42DE-BFD2-84982A34E3B3}</b:Guid>
    <b:Author>
      <b:Author>
        <b:NameList>
          <b:Person>
            <b:Last>Gregori</b:Last>
            <b:First>Sarah</b:First>
          </b:Person>
          <b:Person>
            <b:Last>Komarek</b:Last>
            <b:First>Ernst</b:First>
          </b:Person>
        </b:NameList>
      </b:Author>
    </b:Author>
    <b:Title>EuGH bejaht Vorsteuerabzug bei Photovoltaikanlagen</b:Title>
    <b:JournalName>taxlex</b:JournalName>
    <b:Year>2013</b:Year>
    <b:Pages>316-319</b:Pages>
    <b:RefOrder>2</b:RefOrder>
  </b:Source>
  <b:Source>
    <b:Tag>VoralbergNetz</b:Tag>
    <b:SourceType>DocumentFromInternetSite</b:SourceType>
    <b:Guid>{8C3AF799-94E4-43FB-8B50-53B05EC547BA}</b:Guid>
    <b:Title>Preisblatt Netzanschluss- und Montagepauschalen für das STROM-Verteilernetz</b:Title>
    <b:URL>http://www.vorarlbergnetz.at/downloads/at/2015-01-01_Preisblatt_Netzanschluss-_u._Montagepauschalen_Vorarlberg_Netz.pdf</b:URL>
    <b:Author>
      <b:Author>
        <b:Corporate>Voralberger Energienetze GmbH</b:Corporate>
      </b:Author>
    </b:Author>
    <b:Year>2015</b:Year>
    <b:YearAccessed>2015</b:YearAccessed>
    <b:MonthAccessed>May</b:MonthAccessed>
    <b:DayAccessed>20</b:DayAccessed>
    <b:RefOrder>5</b:RefOrder>
  </b:Source>
  <b:Source>
    <b:Tag>Kos13</b:Tag>
    <b:SourceType>Report</b:SourceType>
    <b:Guid>{9B93347B-5561-4810-AF38-AB80A30E40B9}</b:Guid>
    <b:Author>
      <b:Author>
        <b:NameList>
          <b:Person>
            <b:Last>ISE</b:Last>
          </b:Person>
        </b:NameList>
      </b:Author>
    </b:Author>
    <b:Title>Stromgestehungskosten Erneuerbarer Energien</b:Title>
    <b:Year>November 2013</b:Year>
    <b:City>Freiburg</b:City>
    <b:Institution>Fraunhofer-Institut für Solare Energiesysteme</b:Institution>
    <b:Pages>36</b:Pages>
    <b:RefOrder>11</b:RefOrder>
  </b:Source>
  <b:Source>
    <b:Tag>Platzhalter1</b:Tag>
    <b:SourceType>Report</b:SourceType>
    <b:Guid>{C4C1E918-8893-4ED8-B748-07BC0E60A667}</b:Guid>
    <b:Title>Innovative Energietechnologien in Österreich</b:Title>
    <b:Year>2014</b:Year>
    <b:Publisher>Bundesministerium für Verkehr, Innovation und Technologie</b:Publisher>
    <b:Pages>106</b:Pages>
    <b:ShortTitle>Marktstatistik 2014</b:ShortTitle>
    <b:Author>
      <b:Author>
        <b:NameList>
          <b:Person>
            <b:Last>Peter Biermayr</b:Last>
            <b:First>Manuela</b:First>
            <b:Middle>Eberl, Monika Enigl, Hubert Fechner, et al.</b:Middle>
          </b:Person>
        </b:NameList>
      </b:Author>
    </b:Author>
    <b:RefOrder>12</b:RefOrder>
  </b:Source>
  <b:Source>
    <b:Tag>Piy08</b:Tag>
    <b:SourceType>JournalArticle</b:SourceType>
    <b:Guid>{044F9B4D-D558-41CB-9498-C7C3F0DBF8CD}</b:Guid>
    <b:Author>
      <b:Author>
        <b:NameList>
          <b:Person>
            <b:Last>Poonpun</b:Last>
            <b:First>Piyasak</b:First>
          </b:Person>
          <b:Person>
            <b:Last>Jewell</b:Last>
            <b:First>Ward</b:First>
            <b:Middle>T.</b:Middle>
          </b:Person>
        </b:NameList>
      </b:Author>
    </b:Author>
    <b:Title>Analysis of the Cost per Kilowatt Hour to Store Electricity</b:Title>
    <b:Year>2008</b:Year>
    <b:JournalName>IEEE Transactions on Energy Conversion</b:JournalName>
    <b:Pages>529-534</b:Pages>
    <b:Volume>23</b:Volume>
    <b:Issue>2</b:Issue>
    <b:RefOrder>6</b:RefOrder>
  </b:Source>
  <b:Source xmlns:b="http://schemas.openxmlformats.org/officeDocument/2006/bibliography">
    <b:Tag>PVA15</b:Tag>
    <b:SourceType>InternetSite</b:SourceType>
    <b:Guid>{6FF7E727-DF60-4361-83F8-CFF5A5A89E43}</b:Guid>
    <b:Author>
      <b:Author>
        <b:Corporate>PV Austria</b:Corporate>
      </b:Author>
    </b:Author>
    <b:Title>PVA-Plattform für Überschuss-Einspeiser</b:Title>
    <b:YearAccessed>2015</b:YearAccessed>
    <b:MonthAccessed>July</b:MonthAccessed>
    <b:DayAccessed>23</b:DayAccessed>
    <b:URL>http://www.pvaustria.at/strom-verkaufen/</b:URL>
    <b:RefOrder>13</b:RefOrder>
  </b:Source>
  <b:Source>
    <b:Tag>MBe07</b:Tag>
    <b:SourceType>JournalArticle</b:SourceType>
    <b:Guid>{9EEECD21-BB8E-4422-ACA8-D11FA48B32D8}</b:Guid>
    <b:Author>
      <b:Author>
        <b:NameList>
          <b:Person>
            <b:Last>Benes</b:Last>
            <b:First>M.</b:First>
          </b:Person>
          <b:Person>
            <b:Last>Knápek</b:Last>
            <b:First>J.</b:First>
          </b:Person>
        </b:NameList>
      </b:Author>
    </b:Author>
    <b:Title>Market Value of Electricity Generated Based on RES Utilization</b:Title>
    <b:Year>2007</b:Year>
    <b:JournalName>ISESCO Science and Technology Vision</b:JournalName>
    <b:Pages>3-96</b:Pages>
    <b:Volume>3</b:Volume>
    <b:Issue>3</b:Issue>
    <b:RefOrder>10</b:RefOrder>
  </b:Source>
</b:Sources>
</file>

<file path=customXml/itemProps1.xml><?xml version="1.0" encoding="utf-8"?>
<ds:datastoreItem xmlns:ds="http://schemas.openxmlformats.org/officeDocument/2006/customXml" ds:itemID="{C1B67235-C5B1-4031-A0B0-22827B95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ZAKLADNI SABLONA SI.dot</Template>
  <TotalTime>0</TotalTime>
  <Pages>13</Pages>
  <Words>4652</Words>
  <Characters>26987</Characters>
  <Application>Microsoft Office Word</Application>
  <DocSecurity>0</DocSecurity>
  <Lines>224</Lines>
  <Paragraphs>63</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1</vt:lpstr>
      <vt:lpstr>1</vt:lpstr>
    </vt:vector>
  </TitlesOfParts>
  <Company/>
  <LinksUpToDate>false</LinksUpToDate>
  <CharactersWithSpaces>31576</CharactersWithSpaces>
  <SharedDoc>false</SharedDoc>
  <HLinks>
    <vt:vector size="66" baseType="variant">
      <vt:variant>
        <vt:i4>6291554</vt:i4>
      </vt:variant>
      <vt:variant>
        <vt:i4>60</vt:i4>
      </vt:variant>
      <vt:variant>
        <vt:i4>0</vt:i4>
      </vt:variant>
      <vt:variant>
        <vt:i4>5</vt:i4>
      </vt:variant>
      <vt:variant>
        <vt:lpwstr>http://www.cems.uwe.ac.uk/~tdrewry/referencing.htm</vt:lpwstr>
      </vt:variant>
      <vt:variant>
        <vt:lpwstr/>
      </vt:variant>
      <vt:variant>
        <vt:i4>5636180</vt:i4>
      </vt:variant>
      <vt:variant>
        <vt:i4>57</vt:i4>
      </vt:variant>
      <vt:variant>
        <vt:i4>0</vt:i4>
      </vt:variant>
      <vt:variant>
        <vt:i4>5</vt:i4>
      </vt:variant>
      <vt:variant>
        <vt:lpwstr>http://www.ece.cmu.edu/~koopman/essays/abstract.html</vt:lpwstr>
      </vt:variant>
      <vt:variant>
        <vt:lpwstr/>
      </vt:variant>
      <vt:variant>
        <vt:i4>1245233</vt:i4>
      </vt:variant>
      <vt:variant>
        <vt:i4>50</vt:i4>
      </vt:variant>
      <vt:variant>
        <vt:i4>0</vt:i4>
      </vt:variant>
      <vt:variant>
        <vt:i4>5</vt:i4>
      </vt:variant>
      <vt:variant>
        <vt:lpwstr/>
      </vt:variant>
      <vt:variant>
        <vt:lpwstr>_Toc227571324</vt:lpwstr>
      </vt:variant>
      <vt:variant>
        <vt:i4>1245233</vt:i4>
      </vt:variant>
      <vt:variant>
        <vt:i4>44</vt:i4>
      </vt:variant>
      <vt:variant>
        <vt:i4>0</vt:i4>
      </vt:variant>
      <vt:variant>
        <vt:i4>5</vt:i4>
      </vt:variant>
      <vt:variant>
        <vt:lpwstr/>
      </vt:variant>
      <vt:variant>
        <vt:lpwstr>_Toc227571323</vt:lpwstr>
      </vt:variant>
      <vt:variant>
        <vt:i4>1245233</vt:i4>
      </vt:variant>
      <vt:variant>
        <vt:i4>38</vt:i4>
      </vt:variant>
      <vt:variant>
        <vt:i4>0</vt:i4>
      </vt:variant>
      <vt:variant>
        <vt:i4>5</vt:i4>
      </vt:variant>
      <vt:variant>
        <vt:lpwstr/>
      </vt:variant>
      <vt:variant>
        <vt:lpwstr>_Toc227571322</vt:lpwstr>
      </vt:variant>
      <vt:variant>
        <vt:i4>1245233</vt:i4>
      </vt:variant>
      <vt:variant>
        <vt:i4>32</vt:i4>
      </vt:variant>
      <vt:variant>
        <vt:i4>0</vt:i4>
      </vt:variant>
      <vt:variant>
        <vt:i4>5</vt:i4>
      </vt:variant>
      <vt:variant>
        <vt:lpwstr/>
      </vt:variant>
      <vt:variant>
        <vt:lpwstr>_Toc227571321</vt:lpwstr>
      </vt:variant>
      <vt:variant>
        <vt:i4>1245233</vt:i4>
      </vt:variant>
      <vt:variant>
        <vt:i4>26</vt:i4>
      </vt:variant>
      <vt:variant>
        <vt:i4>0</vt:i4>
      </vt:variant>
      <vt:variant>
        <vt:i4>5</vt:i4>
      </vt:variant>
      <vt:variant>
        <vt:lpwstr/>
      </vt:variant>
      <vt:variant>
        <vt:lpwstr>_Toc227571320</vt:lpwstr>
      </vt:variant>
      <vt:variant>
        <vt:i4>1048625</vt:i4>
      </vt:variant>
      <vt:variant>
        <vt:i4>20</vt:i4>
      </vt:variant>
      <vt:variant>
        <vt:i4>0</vt:i4>
      </vt:variant>
      <vt:variant>
        <vt:i4>5</vt:i4>
      </vt:variant>
      <vt:variant>
        <vt:lpwstr/>
      </vt:variant>
      <vt:variant>
        <vt:lpwstr>_Toc227571319</vt:lpwstr>
      </vt:variant>
      <vt:variant>
        <vt:i4>1048625</vt:i4>
      </vt:variant>
      <vt:variant>
        <vt:i4>14</vt:i4>
      </vt:variant>
      <vt:variant>
        <vt:i4>0</vt:i4>
      </vt:variant>
      <vt:variant>
        <vt:i4>5</vt:i4>
      </vt:variant>
      <vt:variant>
        <vt:lpwstr/>
      </vt:variant>
      <vt:variant>
        <vt:lpwstr>_Toc227571318</vt:lpwstr>
      </vt:variant>
      <vt:variant>
        <vt:i4>1048625</vt:i4>
      </vt:variant>
      <vt:variant>
        <vt:i4>8</vt:i4>
      </vt:variant>
      <vt:variant>
        <vt:i4>0</vt:i4>
      </vt:variant>
      <vt:variant>
        <vt:i4>5</vt:i4>
      </vt:variant>
      <vt:variant>
        <vt:lpwstr/>
      </vt:variant>
      <vt:variant>
        <vt:lpwstr>_Toc227571317</vt:lpwstr>
      </vt:variant>
      <vt:variant>
        <vt:i4>1048625</vt:i4>
      </vt:variant>
      <vt:variant>
        <vt:i4>2</vt:i4>
      </vt:variant>
      <vt:variant>
        <vt:i4>0</vt:i4>
      </vt:variant>
      <vt:variant>
        <vt:i4>5</vt:i4>
      </vt:variant>
      <vt:variant>
        <vt:lpwstr/>
      </vt:variant>
      <vt:variant>
        <vt:lpwstr>_Toc227571316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Jílková</dc:creator>
  <cp:keywords/>
  <dc:description/>
  <cp:lastModifiedBy>Haik Davtjan</cp:lastModifiedBy>
  <cp:revision>2</cp:revision>
  <cp:lastPrinted>2009-03-31T17:03:00Z</cp:lastPrinted>
  <dcterms:created xsi:type="dcterms:W3CDTF">2015-06-24T20:29:00Z</dcterms:created>
  <dcterms:modified xsi:type="dcterms:W3CDTF">2015-06-24T20:29:00Z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A3SaveFlag">
    <vt:i4>-1</vt:i4>
  </property>
</Properties>
</file>